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Initialization strategies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70" w:firstLine="0"/>
        <w:rPr/>
      </w:pPr>
      <w:r w:rsidDel="00000000" w:rsidR="00000000" w:rsidRPr="00000000">
        <w:rPr>
          <w:rtl w:val="0"/>
        </w:rPr>
        <w:t xml:space="preserve">● Most strategies: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○ Are simple and heuristic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○ Try to achieve nice properties during initialization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○ We don’t know if the nice properties are preserved during training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○ We don’t know how initialization affects generalization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firstLine="0"/>
        <w:jc w:val="left"/>
        <w:rPr/>
      </w:pPr>
      <w:r w:rsidDel="00000000" w:rsidR="00000000" w:rsidRPr="00000000">
        <w:rPr>
          <w:rtl w:val="0"/>
        </w:rPr>
        <w:t xml:space="preserve">● Some tips: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○ We don’t want weights with the same values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■ Random initialization using a Gaussian or a uniform distribution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○ Large values may lead to exploding or vanishing gradients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70" w:firstLine="0"/>
        <w:rPr/>
      </w:pPr>
      <w:r w:rsidDel="00000000" w:rsidR="00000000" w:rsidRPr="00000000">
        <w:rPr>
          <w:rtl w:val="0"/>
        </w:rPr>
        <w:t xml:space="preserve">Documentation: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https://docs.pytorch.org/docs/2.12/nn.init.html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pytorch.org/docs/2.12/nn.in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