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Demographic, Lifestyle, and Clinical</w:t>
      </w:r>
    </w:p>
    <w:p>
      <w:pPr>
        <w:spacing w:after="200"/>
      </w:pPr>
      <w:r>
        <w:rPr>
          <w:b/>
          <w:bCs/>
          <w:color w:val="1F3864"/>
          <w:sz w:val="44"/>
          <w:szCs w:val="44"/>
        </w:rPr>
        <w:t xml:space="preserve">Correlates of Hypertension</w:t>
      </w:r>
    </w:p>
    <w:p>
      <w:pPr>
        <w:spacing w:after="60"/>
      </w:pPr>
      <w:r>
        <w:rPr>
          <w:i/>
          <w:iCs/>
          <w:color w:val="595959"/>
          <w:sz w:val="26"/>
          <w:szCs w:val="26"/>
        </w:rPr>
        <w:t xml:space="preserve">A Survey-Weighted Cross-Sectional Analysis of NHANES 2017–March 2020</w:t>
      </w:r>
    </w:p>
    <w:p>
      <w:pPr>
        <w:spacing w:after="400"/>
      </w:pPr>
      <w:r>
        <w:rPr>
          <w:color w:val="595959"/>
          <w:sz w:val="20"/>
          <w:szCs w:val="20"/>
        </w:rPr>
        <w:t xml:space="preserve">Manpreet  •  R (survey, gtsummary, ggplot2)  •  Pre-pandemic combined cycle</w:t>
      </w:r>
    </w:p>
    <w:p>
      <w:pPr>
        <w:pStyle w:val="Heading1"/>
        <w:spacing w:after="160" w:before="360"/>
      </w:pPr>
      <w:r>
        <w:t xml:space="preserve">Research Question</w:t>
      </w:r>
    </w:p>
    <w:p>
      <w:pPr>
        <w:spacing w:after="160" w:line="276"/>
      </w:pPr>
      <w:r>
        <w:t xml:space="preserve">How does hypertension relate to demographic (age, sex, race/ethnicity, education, income), lifestyle (BMI, physical activity, smoking, alcohol), and clinical (diabetes, total cholesterol) factors among U.S. adults — and does dietary sodium intake add independent explanatory value once those core risk factors are accounted for?</w:t>
      </w:r>
    </w:p>
    <w:p>
      <w:pPr>
        <w:pStyle w:val="Heading1"/>
        <w:spacing w:after="160" w:before="360"/>
      </w:pPr>
      <w:r>
        <w:t xml:space="preserve">Why a Survey-Weighted Analysis, Not a Machine-Learning Pipeline</w:t>
      </w:r>
    </w:p>
    <w:p>
      <w:pPr>
        <w:spacing w:after="160" w:line="276"/>
      </w:pPr>
      <w:r>
        <w:t xml:space="preserve">NHANES is not a simple random sample — it is a multi-stage, stratified, clustered probability sample with oversampling of some subgroups. Treating its rows as i.i.d. observations produces biased point estimates and badly wrong standard errors. This project uses the survey package throughout: every prevalence estimate, model coefficient, and confidence interval is computed from a svydesign object incorporating the sample weights (WTMECPRP / WTDRD1PP) and the masked-variance PSU/strata variables (SDMVPSU, SDMVSTRA) CDC provides specifically for this purpose.</w:t>
      </w:r>
    </w:p>
    <w:p>
      <w:pPr>
        <w:spacing w:after="160" w:line="276"/>
      </w:pPr>
      <w:r>
        <w:t xml:space="preserve">The goal throughout is inference — which factors are associated with hypertension, how strongly, with defensible uncertainty — rather than prediction accuracy. There is no train/test split and no “accuracy” metric anywhere in this project, deliberately.</w:t>
      </w:r>
    </w:p>
    <w:p>
      <w:pPr>
        <w:pStyle w:val="Heading1"/>
        <w:spacing w:after="160" w:before="360"/>
      </w:pPr>
      <w:r>
        <w:t xml:space="preserve">Data</w:t>
      </w:r>
    </w:p>
    <w:p>
      <w:pPr>
        <w:spacing w:after="160" w:line="276"/>
      </w:pPr>
      <w:r>
        <w:rPr>
          <w:b w:val="false"/>
          <w:bCs w:val="false"/>
        </w:rPr>
        <w:t xml:space="preserve">Source: NHANES 2017–March 2020 pre-pandemic combined cycle, CDC's special replacement for the COVID-interrupted 2019-2020 collection, with its own purpose-built weights and masked-variance design variables.</w:t>
      </w:r>
    </w:p>
    <w:p>
      <w:pPr>
        <w:pStyle w:val="ListParagraph"/>
        <w:numPr>
          <w:ilvl w:val="0"/>
          <w:numId w:val="1"/>
        </w:numPr>
        <w:spacing w:after="100" w:line="276"/>
      </w:pPr>
      <w:r>
        <w:t xml:space="preserve">Ten linked NHANES modules merged on SEQN: demographics, oscillometric blood pressure exam, hypertension diagnosis/medication, body measures, physical activity, smoking, alcohol, diabetes, total cholesterol, and Day-1 dietary recall.</w:t>
      </w:r>
    </w:p>
    <w:p>
      <w:pPr>
        <w:pStyle w:val="ListParagraph"/>
        <w:numPr>
          <w:ilvl w:val="0"/>
          <w:numId w:val="1"/>
        </w:numPr>
        <w:spacing w:after="100" w:line="276"/>
      </w:pPr>
      <w:r>
        <w:t xml:space="preserve">Outcome defined two ways for a built-in sensitivity check: ACC/AHA 2017 (mean SBP ≥130 or DBP ≥80, or on antihypertensive medication — primary definition) and the older, more conservative JNC7 threshold (≥140/90).</w:t>
      </w:r>
    </w:p>
    <w:p>
      <w:pPr>
        <w:pStyle w:val="ListParagraph"/>
        <w:numPr>
          <w:ilvl w:val="0"/>
          <w:numId w:val="1"/>
        </w:numPr>
        <w:spacing w:after="100" w:line="276"/>
      </w:pPr>
      <w:r>
        <w:t xml:space="preserve">Analytic domain: adults (18+) who completed both the interview and the MEC exam, with a valid outcome — 8,293 sampled adults, representing an estimated 231.8 million U.S. adults after weighting.</w:t>
      </w:r>
    </w:p>
    <w:p>
      <w:pPr>
        <w:pStyle w:val="Heading1"/>
        <w:spacing w:after="160" w:before="360"/>
      </w:pPr>
      <w:r>
        <w:t xml:space="preserve">Table 1. Weighted Baseline Characteristics</w:t>
      </w:r>
    </w:p>
    <w:p>
      <w:pPr>
        <w:spacing w:after="160" w:line="276"/>
      </w:pPr>
      <w:r>
        <w:rPr>
          <w:i/>
          <w:iCs/>
          <w:color w:val="595959"/>
          <w:sz w:val="19"/>
          <w:szCs w:val="19"/>
        </w:rPr>
        <w:t xml:space="preserve">All percentages and means are survey-weighted, estimating the U.S. adult population rather than just the people sampled; p-values use design-based tests (Rao &amp; Scott adjusted Pearson chi-squared, design-based Kruskal-Wallis), not naive unweighted tests.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1950"/>
        <w:gridCol w:w="1950"/>
        <w:gridCol w:w="1950"/>
        <w:gridCol w:w="1150"/>
      </w:tblGrid>
      <w:tr>
        <w:trPr>
          <w:tblHeader/>
        </w:trPr>
        <w:tc>
          <w:tcPr>
            <w:tcW w:type="dxa" w:w="3200"/>
            <w:shd w:fill="1F3864" w:val="clear"/>
            <w:tcMar>
              <w:top w:type="dxa" w:w="60"/>
              <w:left w:type="dxa" w:w="100"/>
              <w:bottom w:type="dxa" w:w="60"/>
              <w:right w:type="dxa" w:w="100"/>
            </w:tcMar>
          </w:tcPr>
          <w:p>
            <w:pPr>
              <w:jc w:val="left"/>
            </w:pPr>
            <w:r>
              <w:rPr>
                <w:b/>
                <w:bCs/>
                <w:color w:val="FFFFFF"/>
                <w:sz w:val="19"/>
                <w:szCs w:val="19"/>
              </w:rPr>
              <w:t xml:space="preserve">Characteristic</w:t>
            </w:r>
          </w:p>
        </w:tc>
        <w:tc>
          <w:tcPr>
            <w:tcW w:type="dxa" w:w="1950"/>
            <w:shd w:fill="1F3864" w:val="clear"/>
            <w:tcMar>
              <w:top w:type="dxa" w:w="60"/>
              <w:left w:type="dxa" w:w="100"/>
              <w:bottom w:type="dxa" w:w="60"/>
              <w:right w:type="dxa" w:w="100"/>
            </w:tcMar>
          </w:tcPr>
          <w:p>
            <w:pPr>
              <w:jc w:val="center"/>
            </w:pPr>
            <w:r>
              <w:rPr>
                <w:b/>
                <w:bCs/>
                <w:color w:val="FFFFFF"/>
                <w:sz w:val="19"/>
                <w:szCs w:val="19"/>
              </w:rPr>
              <w:t xml:space="preserve">Overall
N=231,774,165</w:t>
            </w:r>
          </w:p>
        </w:tc>
        <w:tc>
          <w:tcPr>
            <w:tcW w:type="dxa" w:w="1950"/>
            <w:shd w:fill="1F3864" w:val="clear"/>
            <w:tcMar>
              <w:top w:type="dxa" w:w="60"/>
              <w:left w:type="dxa" w:w="100"/>
              <w:bottom w:type="dxa" w:w="60"/>
              <w:right w:type="dxa" w:w="100"/>
            </w:tcMar>
          </w:tcPr>
          <w:p>
            <w:pPr>
              <w:jc w:val="center"/>
            </w:pPr>
            <w:r>
              <w:rPr>
                <w:b/>
                <w:bCs/>
                <w:color w:val="FFFFFF"/>
                <w:sz w:val="19"/>
                <w:szCs w:val="19"/>
              </w:rPr>
              <w:t xml:space="preserve">No HTN
N=118,798,473</w:t>
            </w:r>
          </w:p>
        </w:tc>
        <w:tc>
          <w:tcPr>
            <w:tcW w:type="dxa" w:w="1950"/>
            <w:shd w:fill="1F3864" w:val="clear"/>
            <w:tcMar>
              <w:top w:type="dxa" w:w="60"/>
              <w:left w:type="dxa" w:w="100"/>
              <w:bottom w:type="dxa" w:w="60"/>
              <w:right w:type="dxa" w:w="100"/>
            </w:tcMar>
          </w:tcPr>
          <w:p>
            <w:pPr>
              <w:jc w:val="center"/>
            </w:pPr>
            <w:r>
              <w:rPr>
                <w:b/>
                <w:bCs/>
                <w:color w:val="FFFFFF"/>
                <w:sz w:val="19"/>
                <w:szCs w:val="19"/>
              </w:rPr>
              <w:t xml:space="preserve">HTN
N=112,975,692</w:t>
            </w:r>
          </w:p>
        </w:tc>
        <w:tc>
          <w:tcPr>
            <w:tcW w:type="dxa" w:w="1150"/>
            <w:shd w:fill="1F3864" w:val="clear"/>
            <w:tcMar>
              <w:top w:type="dxa" w:w="60"/>
              <w:left w:type="dxa" w:w="100"/>
              <w:bottom w:type="dxa" w:w="60"/>
              <w:right w:type="dxa" w:w="100"/>
            </w:tcMar>
          </w:tcPr>
          <w:p>
            <w:pPr>
              <w:jc w:val="center"/>
            </w:pPr>
            <w:r>
              <w:rPr>
                <w:b/>
                <w:bCs/>
                <w:color w:val="FFFFFF"/>
                <w:sz w:val="19"/>
                <w:szCs w:val="19"/>
              </w:rPr>
              <w:t xml:space="preserve">p-value</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age, mean (SD)</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48 (18)</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40 (16)</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56 (16)</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FFFFF" w:val="clear"/>
            <w:tcMar>
              <w:top w:type="dxa" w:w="60"/>
              <w:left w:type="dxa" w:w="100"/>
              <w:bottom w:type="dxa" w:w="60"/>
              <w:right w:type="dxa" w:w="100"/>
            </w:tcMar>
          </w:tcPr>
          <w:p>
            <w:pPr>
              <w:jc w:val="left"/>
            </w:pPr>
            <w:r>
              <w:rPr>
                <w:b/>
                <w:bCs/>
                <w:sz w:val="19"/>
                <w:szCs w:val="19"/>
              </w:rPr>
              <w:t xml:space="preserve">Sex</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0.001</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Male</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112,725,754 (49%)</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54,456,820 (46%)</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58,268,934 (52%)</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Female</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119,048,411 (51%)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64,341,652 (54%)</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54,706,759 (48%)</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bCs/>
                <w:sz w:val="19"/>
                <w:szCs w:val="19"/>
              </w:rPr>
              <w:t xml:space="preserve">Race/ethnicity</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Non-Hispanic White</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146,944,317 (63%)</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75,074,402 (63%)</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71,869,915 (64%)</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Non-Hispanic Black</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26,412,175 (11%)</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10,943,882 (9.2%)</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15,468,294 (14%)</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Mexican American</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18,724,667 (8.1%)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11,721,454 (9.9%)</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7,003,212 (6.2%)</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Other Hispanic</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17,268,591 (7.5%)</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9,564,482 (8.1%)</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7,704,109 (6.8%)</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Non-Hispanic Asian</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12,936,574 (5.6%)</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6,955,490 (5.9%)</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5,981,085 (5.3%)</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Other/Multi-racial</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9,487,841 (4.1%)</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4,538,763 (3.8%)</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4,949,078 (4.4%)</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bCs/>
                <w:sz w:val="19"/>
                <w:szCs w:val="19"/>
              </w:rPr>
              <w:t xml:space="preserve">Education</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Less than 9th grade</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7,698,677 (3.4%)</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3,155,020 (2.8%)</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4,543,657 (4.0%)</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9-11th grade</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15,856,093 (7.1%)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6,733,592 (6.0%)</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9,122,501 (8.1%)</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High school grad/GED</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61,409,806 (27%)</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27,441,037 (24%)</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33,968,769 (30%)</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Some college/AA</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68,848,873 (31%)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33,284,700 (30%)</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35,564,173 (32%)</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College graduate+</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71,068,870 (32%)</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41,853,273 (37%)</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29,215,597 (26%)</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Income-to-poverty ratio, mean (SD)</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3.12 (1.64)</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3.12 (1.68)</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3.11 (1.61)</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0.8</w:t>
            </w:r>
          </w:p>
        </w:tc>
      </w:tr>
      <w:tr>
        <w:tc>
          <w:tcPr>
            <w:tcW w:type="dxa" w:w="3200"/>
            <w:shd w:fill="F2F6FA" w:val="clear"/>
            <w:tcMar>
              <w:top w:type="dxa" w:w="60"/>
              <w:left w:type="dxa" w:w="100"/>
              <w:bottom w:type="dxa" w:w="60"/>
              <w:right w:type="dxa" w:w="100"/>
            </w:tcMar>
          </w:tcPr>
          <w:p>
            <w:pPr>
              <w:jc w:val="left"/>
            </w:pPr>
            <w:r>
              <w:rPr>
                <w:b/>
                <w:bCs/>
                <w:sz w:val="19"/>
                <w:szCs w:val="19"/>
              </w:rPr>
              <w:t xml:space="preserve">BMI category</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Normal</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58,198,288 (25%)</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40,038,413 (34%)</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18,159,875 (16%)</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Underweight</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3,331,577 (1.5%)</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2,607,346 (2.2%)</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724,231 (0.7%)</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Overweight</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71,990,945 (31%)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38,145,597 (32%)</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33,845,348 (30%)</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Obese</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96,043,908 (42%)</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37,541,693 (32%)</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58,502,215 (53%)</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bCs/>
                <w:sz w:val="19"/>
                <w:szCs w:val="19"/>
              </w:rPr>
              <w:t xml:space="preserve">Smoking</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Never</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134,652,535 (58%)</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74,786,580 (63%)</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59,865,955 (53%)</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Former</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58,784,899 (25%)</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24,714,343 (21%)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34,070,556 (30%)</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Current</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38,273,056 (17%)</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19,280,126 (16%)</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18,992,930 (17%)</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bCs/>
                <w:sz w:val="19"/>
                <w:szCs w:val="19"/>
              </w:rPr>
              <w:t xml:space="preserve">Alcohol use</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None (past year)</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35,927,032 (17%)</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13,916,731 (13%)</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22,010,301 (22%)</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  Moderate</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155,451,690 (75%)</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86,587,322 (81%)</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68,864,367 (68%)</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  Heavy</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16,591,136 (8.0%)</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6,913,581 (6.4%)</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9,677,554 (9.6%)</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Diabetes</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27,164,692 (12%)</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5,034,621 (4.3%)</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22,130,071 (20%)</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2F6FA" w:val="clear"/>
            <w:tcMar>
              <w:top w:type="dxa" w:w="60"/>
              <w:left w:type="dxa" w:w="100"/>
              <w:bottom w:type="dxa" w:w="60"/>
              <w:right w:type="dxa" w:w="100"/>
            </w:tcMar>
          </w:tcPr>
          <w:p>
            <w:pPr>
              <w:jc w:val="left"/>
            </w:pPr>
            <w:r>
              <w:rPr>
                <w:b w:val="false"/>
                <w:bCs w:val="false"/>
                <w:sz w:val="19"/>
                <w:szCs w:val="19"/>
              </w:rPr>
              <w:t xml:space="preserve">Total cholesterol, mg/dL, mean (SD)</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187 (41)</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183 (40)</w:t>
            </w:r>
          </w:p>
        </w:tc>
        <w:tc>
          <w:tcPr>
            <w:tcW w:type="dxa" w:w="1950"/>
            <w:shd w:fill="F2F6FA" w:val="clear"/>
            <w:tcMar>
              <w:top w:type="dxa" w:w="60"/>
              <w:left w:type="dxa" w:w="100"/>
              <w:bottom w:type="dxa" w:w="60"/>
              <w:right w:type="dxa" w:w="100"/>
            </w:tcMar>
          </w:tcPr>
          <w:p>
            <w:pPr>
              <w:jc w:val="center"/>
            </w:pPr>
            <w:r>
              <w:rPr>
                <w:b w:val="false"/>
                <w:bCs w:val="false"/>
                <w:sz w:val="19"/>
                <w:szCs w:val="19"/>
              </w:rPr>
              <w:t xml:space="preserve">190 (42)</w:t>
            </w:r>
          </w:p>
        </w:tc>
        <w:tc>
          <w:tcPr>
            <w:tcW w:type="dxa" w:w="1150"/>
            <w:shd w:fill="F2F6FA"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3200"/>
            <w:shd w:fill="FFFFFF" w:val="clear"/>
            <w:tcMar>
              <w:top w:type="dxa" w:w="60"/>
              <w:left w:type="dxa" w:w="100"/>
              <w:bottom w:type="dxa" w:w="60"/>
              <w:right w:type="dxa" w:w="100"/>
            </w:tcMar>
          </w:tcPr>
          <w:p>
            <w:pPr>
              <w:jc w:val="left"/>
            </w:pPr>
            <w:r>
              <w:rPr>
                <w:b w:val="false"/>
                <w:bCs w:val="false"/>
                <w:sz w:val="19"/>
                <w:szCs w:val="19"/>
              </w:rPr>
              <w:t xml:space="preserve">Meets PA guidelines</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158,033,583 (68%)</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89,260,047 (75%)</w:t>
            </w:r>
          </w:p>
        </w:tc>
        <w:tc>
          <w:tcPr>
            <w:tcW w:type="dxa" w:w="1950"/>
            <w:shd w:fill="FFFFFF" w:val="clear"/>
            <w:tcMar>
              <w:top w:type="dxa" w:w="60"/>
              <w:left w:type="dxa" w:w="100"/>
              <w:bottom w:type="dxa" w:w="60"/>
              <w:right w:type="dxa" w:w="100"/>
            </w:tcMar>
          </w:tcPr>
          <w:p>
            <w:pPr>
              <w:jc w:val="center"/>
            </w:pPr>
            <w:r>
              <w:rPr>
                <w:b w:val="false"/>
                <w:bCs w:val="false"/>
                <w:sz w:val="19"/>
                <w:szCs w:val="19"/>
              </w:rPr>
              <w:t xml:space="preserve">68,773,536 (61%)</w:t>
            </w:r>
          </w:p>
        </w:tc>
        <w:tc>
          <w:tcPr>
            <w:tcW w:type="dxa" w:w="1150"/>
            <w:shd w:fill="FFFFFF" w:val="clear"/>
            <w:tcMar>
              <w:top w:type="dxa" w:w="60"/>
              <w:left w:type="dxa" w:w="100"/>
              <w:bottom w:type="dxa" w:w="60"/>
              <w:right w:type="dxa" w:w="100"/>
            </w:tcMar>
          </w:tcPr>
          <w:p>
            <w:pPr>
              <w:jc w:val="center"/>
            </w:pPr>
            <w:r>
              <w:rPr>
                <w:b w:val="false"/>
                <w:bCs w:val="false"/>
                <w:sz w:val="19"/>
                <w:szCs w:val="19"/>
              </w:rPr>
              <w:t xml:space="preserve">&lt;0.001</w:t>
            </w:r>
          </w:p>
        </w:tc>
      </w:tr>
    </w:tbl>
    <w:p>
      <w:r>
        <w:br w:type="page"/>
      </w:r>
    </w:p>
    <w:p>
      <w:pPr>
        <w:pStyle w:val="Heading1"/>
        <w:spacing w:after="160" w:before="360"/>
      </w:pPr>
      <w:r>
        <w:t xml:space="preserve">Descriptive Epidemiology</w:t>
      </w:r>
    </w:p>
    <w:p>
      <w:pPr>
        <w:spacing w:after="160" w:line="276"/>
      </w:pPr>
      <w:r>
        <w:t xml:space="preserve">Overall weighted hypertension prevalence (ACC/AHA 2017 definition) is 48.7% (SE 1.2 pp) — 51.7% among men vs. 46.0% among women, and highest among Non-Hispanic Black adults (58.6%) vs. Non-Hispanic White (48.9%) and Mexican American (37.4%) adults.</w:t>
      </w:r>
    </w:p>
    <w:p>
      <w:pPr>
        <w:spacing w:after="80" w:before="20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95959"/>
          <w:sz w:val="18"/>
          <w:szCs w:val="18"/>
        </w:rPr>
        <w:t xml:space="preserve">Figure 1. Weighted hypertension prevalence by BMI category, with 95% CI.</w:t>
      </w:r>
    </w:p>
    <w:p>
      <w:pPr>
        <w:spacing w:after="80" w:before="20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p>
      <w:pPr>
        <w:spacing w:after="240"/>
        <w:jc w:val="center"/>
      </w:pPr>
      <w:r>
        <w:rPr>
          <w:i/>
          <w:iCs/>
          <w:color w:val="595959"/>
          <w:sz w:val="18"/>
          <w:szCs w:val="18"/>
        </w:rPr>
        <w:t xml:space="preserve">Figure 2. Weighted mean systolic blood pressure by age group, with 95% CI.</w:t>
      </w:r>
    </w:p>
    <w:p>
      <w:pPr>
        <w:pStyle w:val="Heading1"/>
        <w:spacing w:after="160" w:before="360"/>
      </w:pPr>
      <w:r>
        <w:t xml:space="preserve">Adjusted Model Results</w:t>
      </w:r>
    </w:p>
    <w:p>
      <w:pPr>
        <w:spacing w:after="160" w:line="276"/>
      </w:pPr>
      <w:r>
        <w:t xml:space="preserve">A survey-weighted multivariable logistic model (svyglm, quasibinomial family) adjusting for age, sex, race/ethnicity, education, income-to-poverty ratio, BMI category, smoking, alcohol use, diabetes, total cholesterol, and physical activity guideline compliance. The table below highlights the predictors with the clearest evidence of an association; the full 22-term model is in the accompanying analysis.Rmd / analysis.html.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400"/>
        <w:gridCol w:w="1600"/>
        <w:gridCol w:w="2400"/>
        <w:gridCol w:w="1800"/>
      </w:tblGrid>
      <w:tr>
        <w:trPr>
          <w:tblHeader/>
        </w:trPr>
        <w:tc>
          <w:tcPr>
            <w:tcW w:type="dxa" w:w="4400"/>
            <w:shd w:fill="1F3864" w:val="clear"/>
            <w:tcMar>
              <w:top w:type="dxa" w:w="60"/>
              <w:left w:type="dxa" w:w="100"/>
              <w:bottom w:type="dxa" w:w="60"/>
              <w:right w:type="dxa" w:w="100"/>
            </w:tcMar>
          </w:tcPr>
          <w:p>
            <w:pPr>
              <w:jc w:val="left"/>
            </w:pPr>
            <w:r>
              <w:rPr>
                <w:b/>
                <w:bCs/>
                <w:color w:val="FFFFFF"/>
                <w:sz w:val="19"/>
                <w:szCs w:val="19"/>
              </w:rPr>
              <w:t xml:space="preserve">Predictor (adjusted model)</w:t>
            </w:r>
          </w:p>
        </w:tc>
        <w:tc>
          <w:tcPr>
            <w:tcW w:type="dxa" w:w="1600"/>
            <w:shd w:fill="1F3864" w:val="clear"/>
            <w:tcMar>
              <w:top w:type="dxa" w:w="60"/>
              <w:left w:type="dxa" w:w="100"/>
              <w:bottom w:type="dxa" w:w="60"/>
              <w:right w:type="dxa" w:w="100"/>
            </w:tcMar>
          </w:tcPr>
          <w:p>
            <w:pPr>
              <w:jc w:val="center"/>
            </w:pPr>
            <w:r>
              <w:rPr>
                <w:b/>
                <w:bCs/>
                <w:color w:val="FFFFFF"/>
                <w:sz w:val="19"/>
                <w:szCs w:val="19"/>
              </w:rPr>
              <w:t xml:space="preserve">Odds ratio</w:t>
            </w:r>
          </w:p>
        </w:tc>
        <w:tc>
          <w:tcPr>
            <w:tcW w:type="dxa" w:w="2400"/>
            <w:shd w:fill="1F3864" w:val="clear"/>
            <w:tcMar>
              <w:top w:type="dxa" w:w="60"/>
              <w:left w:type="dxa" w:w="100"/>
              <w:bottom w:type="dxa" w:w="60"/>
              <w:right w:type="dxa" w:w="100"/>
            </w:tcMar>
          </w:tcPr>
          <w:p>
            <w:pPr>
              <w:jc w:val="center"/>
            </w:pPr>
            <w:r>
              <w:rPr>
                <w:b/>
                <w:bCs/>
                <w:color w:val="FFFFFF"/>
                <w:sz w:val="19"/>
                <w:szCs w:val="19"/>
              </w:rPr>
              <w:t xml:space="preserve">95% CI</w:t>
            </w:r>
          </w:p>
        </w:tc>
        <w:tc>
          <w:tcPr>
            <w:tcW w:type="dxa" w:w="1800"/>
            <w:shd w:fill="1F3864" w:val="clear"/>
            <w:tcMar>
              <w:top w:type="dxa" w:w="60"/>
              <w:left w:type="dxa" w:w="100"/>
              <w:bottom w:type="dxa" w:w="60"/>
              <w:right w:type="dxa" w:w="100"/>
            </w:tcMar>
          </w:tcPr>
          <w:p>
            <w:pPr>
              <w:jc w:val="center"/>
            </w:pPr>
            <w:r>
              <w:rPr>
                <w:b/>
                <w:bCs/>
                <w:color w:val="FFFFFF"/>
                <w:sz w:val="19"/>
                <w:szCs w:val="19"/>
              </w:rPr>
              <w:t xml:space="preserve">p-value</w:t>
            </w:r>
          </w:p>
        </w:tc>
      </w:tr>
      <w:tr>
        <w:tc>
          <w:tcPr>
            <w:tcW w:type="dxa" w:w="4400"/>
            <w:shd w:fill="F2F6FA" w:val="clear"/>
            <w:tcMar>
              <w:top w:type="dxa" w:w="60"/>
              <w:left w:type="dxa" w:w="100"/>
              <w:bottom w:type="dxa" w:w="60"/>
              <w:right w:type="dxa" w:w="100"/>
            </w:tcMar>
          </w:tcPr>
          <w:p>
            <w:pPr>
              <w:jc w:val="left"/>
            </w:pPr>
            <w:r>
              <w:rPr>
                <w:b w:val="false"/>
                <w:bCs w:val="false"/>
                <w:sz w:val="19"/>
                <w:szCs w:val="19"/>
              </w:rPr>
              <w:t xml:space="preserve">Obese (vs. normal BMI)</w:t>
            </w:r>
          </w:p>
        </w:tc>
        <w:tc>
          <w:tcPr>
            <w:tcW w:type="dxa" w:w="1600"/>
            <w:shd w:fill="F2F6FA" w:val="clear"/>
            <w:tcMar>
              <w:top w:type="dxa" w:w="60"/>
              <w:left w:type="dxa" w:w="100"/>
              <w:bottom w:type="dxa" w:w="60"/>
              <w:right w:type="dxa" w:w="100"/>
            </w:tcMar>
          </w:tcPr>
          <w:p>
            <w:pPr>
              <w:jc w:val="center"/>
            </w:pPr>
            <w:r>
              <w:rPr>
                <w:b/>
                <w:bCs/>
                <w:sz w:val="19"/>
                <w:szCs w:val="19"/>
              </w:rPr>
              <w:t xml:space="preserve">3.25</w:t>
            </w:r>
          </w:p>
        </w:tc>
        <w:tc>
          <w:tcPr>
            <w:tcW w:type="dxa" w:w="2400"/>
            <w:shd w:fill="F2F6FA" w:val="clear"/>
            <w:tcMar>
              <w:top w:type="dxa" w:w="60"/>
              <w:left w:type="dxa" w:w="100"/>
              <w:bottom w:type="dxa" w:w="60"/>
              <w:right w:type="dxa" w:w="100"/>
            </w:tcMar>
          </w:tcPr>
          <w:p>
            <w:pPr>
              <w:jc w:val="center"/>
            </w:pPr>
            <w:r>
              <w:rPr>
                <w:b w:val="false"/>
                <w:bCs w:val="false"/>
                <w:sz w:val="19"/>
                <w:szCs w:val="19"/>
              </w:rPr>
              <w:t xml:space="preserve">2.29 - 4.62</w:t>
            </w:r>
          </w:p>
        </w:tc>
        <w:tc>
          <w:tcPr>
            <w:tcW w:type="dxa" w:w="1800"/>
            <w:shd w:fill="F2F6FA" w:val="clear"/>
            <w:tcMar>
              <w:top w:type="dxa" w:w="60"/>
              <w:left w:type="dxa" w:w="100"/>
              <w:bottom w:type="dxa" w:w="60"/>
              <w:right w:type="dxa" w:w="100"/>
            </w:tcMar>
          </w:tcPr>
          <w:p>
            <w:pPr>
              <w:jc w:val="center"/>
            </w:pPr>
            <w:r>
              <w:rPr>
                <w:b w:val="false"/>
                <w:bCs w:val="false"/>
                <w:sz w:val="19"/>
                <w:szCs w:val="19"/>
              </w:rPr>
              <w:t xml:space="preserve">0.002</w:t>
            </w:r>
          </w:p>
        </w:tc>
      </w:tr>
      <w:tr>
        <w:tc>
          <w:tcPr>
            <w:tcW w:type="dxa" w:w="4400"/>
            <w:shd w:fill="FFFFFF" w:val="clear"/>
            <w:tcMar>
              <w:top w:type="dxa" w:w="60"/>
              <w:left w:type="dxa" w:w="100"/>
              <w:bottom w:type="dxa" w:w="60"/>
              <w:right w:type="dxa" w:w="100"/>
            </w:tcMar>
          </w:tcPr>
          <w:p>
            <w:pPr>
              <w:jc w:val="left"/>
            </w:pPr>
            <w:r>
              <w:rPr>
                <w:b w:val="false"/>
                <w:bCs w:val="false"/>
                <w:sz w:val="19"/>
                <w:szCs w:val="19"/>
              </w:rPr>
              <w:t xml:space="preserve">Diabetes</w:t>
            </w:r>
          </w:p>
        </w:tc>
        <w:tc>
          <w:tcPr>
            <w:tcW w:type="dxa" w:w="1600"/>
            <w:shd w:fill="FFFFFF" w:val="clear"/>
            <w:tcMar>
              <w:top w:type="dxa" w:w="60"/>
              <w:left w:type="dxa" w:w="100"/>
              <w:bottom w:type="dxa" w:w="60"/>
              <w:right w:type="dxa" w:w="100"/>
            </w:tcMar>
          </w:tcPr>
          <w:p>
            <w:pPr>
              <w:jc w:val="center"/>
            </w:pPr>
            <w:r>
              <w:rPr>
                <w:b/>
                <w:bCs/>
                <w:sz w:val="19"/>
                <w:szCs w:val="19"/>
              </w:rPr>
              <w:t xml:space="preserve">2.46</w:t>
            </w:r>
          </w:p>
        </w:tc>
        <w:tc>
          <w:tcPr>
            <w:tcW w:type="dxa" w:w="2400"/>
            <w:shd w:fill="FFFFFF" w:val="clear"/>
            <w:tcMar>
              <w:top w:type="dxa" w:w="60"/>
              <w:left w:type="dxa" w:w="100"/>
              <w:bottom w:type="dxa" w:w="60"/>
              <w:right w:type="dxa" w:w="100"/>
            </w:tcMar>
          </w:tcPr>
          <w:p>
            <w:pPr>
              <w:jc w:val="center"/>
            </w:pPr>
            <w:r>
              <w:rPr>
                <w:b w:val="false"/>
                <w:bCs w:val="false"/>
                <w:sz w:val="19"/>
                <w:szCs w:val="19"/>
              </w:rPr>
              <w:t xml:space="preserve">1.46 - 4.15</w:t>
            </w:r>
          </w:p>
        </w:tc>
        <w:tc>
          <w:tcPr>
            <w:tcW w:type="dxa" w:w="1800"/>
            <w:shd w:fill="FFFFFF" w:val="clear"/>
            <w:tcMar>
              <w:top w:type="dxa" w:w="60"/>
              <w:left w:type="dxa" w:w="100"/>
              <w:bottom w:type="dxa" w:w="60"/>
              <w:right w:type="dxa" w:w="100"/>
            </w:tcMar>
          </w:tcPr>
          <w:p>
            <w:pPr>
              <w:jc w:val="center"/>
            </w:pPr>
            <w:r>
              <w:rPr>
                <w:b w:val="false"/>
                <w:bCs w:val="false"/>
                <w:sz w:val="19"/>
                <w:szCs w:val="19"/>
              </w:rPr>
              <w:t xml:space="preserve">0.012</w:t>
            </w:r>
          </w:p>
        </w:tc>
      </w:tr>
      <w:tr>
        <w:tc>
          <w:tcPr>
            <w:tcW w:type="dxa" w:w="4400"/>
            <w:shd w:fill="F2F6FA" w:val="clear"/>
            <w:tcMar>
              <w:top w:type="dxa" w:w="60"/>
              <w:left w:type="dxa" w:w="100"/>
              <w:bottom w:type="dxa" w:w="60"/>
              <w:right w:type="dxa" w:w="100"/>
            </w:tcMar>
          </w:tcPr>
          <w:p>
            <w:pPr>
              <w:jc w:val="left"/>
            </w:pPr>
            <w:r>
              <w:rPr>
                <w:b w:val="false"/>
                <w:bCs w:val="false"/>
                <w:sz w:val="19"/>
                <w:szCs w:val="19"/>
              </w:rPr>
              <w:t xml:space="preserve">Heavy alcohol use</w:t>
            </w:r>
          </w:p>
        </w:tc>
        <w:tc>
          <w:tcPr>
            <w:tcW w:type="dxa" w:w="1600"/>
            <w:shd w:fill="F2F6FA" w:val="clear"/>
            <w:tcMar>
              <w:top w:type="dxa" w:w="60"/>
              <w:left w:type="dxa" w:w="100"/>
              <w:bottom w:type="dxa" w:w="60"/>
              <w:right w:type="dxa" w:w="100"/>
            </w:tcMar>
          </w:tcPr>
          <w:p>
            <w:pPr>
              <w:jc w:val="center"/>
            </w:pPr>
            <w:r>
              <w:rPr>
                <w:b/>
                <w:bCs/>
                <w:sz w:val="19"/>
                <w:szCs w:val="19"/>
              </w:rPr>
              <w:t xml:space="preserve">2.14</w:t>
            </w:r>
          </w:p>
        </w:tc>
        <w:tc>
          <w:tcPr>
            <w:tcW w:type="dxa" w:w="2400"/>
            <w:shd w:fill="F2F6FA" w:val="clear"/>
            <w:tcMar>
              <w:top w:type="dxa" w:w="60"/>
              <w:left w:type="dxa" w:w="100"/>
              <w:bottom w:type="dxa" w:w="60"/>
              <w:right w:type="dxa" w:w="100"/>
            </w:tcMar>
          </w:tcPr>
          <w:p>
            <w:pPr>
              <w:jc w:val="center"/>
            </w:pPr>
            <w:r>
              <w:rPr>
                <w:b w:val="false"/>
                <w:bCs w:val="false"/>
                <w:sz w:val="19"/>
                <w:szCs w:val="19"/>
              </w:rPr>
              <w:t xml:space="preserve">1.15 - 3.99</w:t>
            </w:r>
          </w:p>
        </w:tc>
        <w:tc>
          <w:tcPr>
            <w:tcW w:type="dxa" w:w="1800"/>
            <w:shd w:fill="F2F6FA" w:val="clear"/>
            <w:tcMar>
              <w:top w:type="dxa" w:w="60"/>
              <w:left w:type="dxa" w:w="100"/>
              <w:bottom w:type="dxa" w:w="60"/>
              <w:right w:type="dxa" w:w="100"/>
            </w:tcMar>
          </w:tcPr>
          <w:p>
            <w:pPr>
              <w:jc w:val="center"/>
            </w:pPr>
            <w:r>
              <w:rPr>
                <w:b w:val="false"/>
                <w:bCs w:val="false"/>
                <w:sz w:val="19"/>
                <w:szCs w:val="19"/>
              </w:rPr>
              <w:t xml:space="preserve">0.030</w:t>
            </w:r>
          </w:p>
        </w:tc>
      </w:tr>
      <w:tr>
        <w:tc>
          <w:tcPr>
            <w:tcW w:type="dxa" w:w="4400"/>
            <w:shd w:fill="FFFFFF" w:val="clear"/>
            <w:tcMar>
              <w:top w:type="dxa" w:w="60"/>
              <w:left w:type="dxa" w:w="100"/>
              <w:bottom w:type="dxa" w:w="60"/>
              <w:right w:type="dxa" w:w="100"/>
            </w:tcMar>
          </w:tcPr>
          <w:p>
            <w:pPr>
              <w:jc w:val="left"/>
            </w:pPr>
            <w:r>
              <w:rPr>
                <w:b w:val="false"/>
                <w:bCs w:val="false"/>
                <w:sz w:val="19"/>
                <w:szCs w:val="19"/>
              </w:rPr>
              <w:t xml:space="preserve">Non-Hispanic Black (vs. White)</w:t>
            </w:r>
          </w:p>
        </w:tc>
        <w:tc>
          <w:tcPr>
            <w:tcW w:type="dxa" w:w="1600"/>
            <w:shd w:fill="FFFFFF" w:val="clear"/>
            <w:tcMar>
              <w:top w:type="dxa" w:w="60"/>
              <w:left w:type="dxa" w:w="100"/>
              <w:bottom w:type="dxa" w:w="60"/>
              <w:right w:type="dxa" w:w="100"/>
            </w:tcMar>
          </w:tcPr>
          <w:p>
            <w:pPr>
              <w:jc w:val="center"/>
            </w:pPr>
            <w:r>
              <w:rPr>
                <w:b/>
                <w:bCs/>
                <w:sz w:val="19"/>
                <w:szCs w:val="19"/>
              </w:rPr>
              <w:t xml:space="preserve">2.08</w:t>
            </w:r>
          </w:p>
        </w:tc>
        <w:tc>
          <w:tcPr>
            <w:tcW w:type="dxa" w:w="2400"/>
            <w:shd w:fill="FFFFFF" w:val="clear"/>
            <w:tcMar>
              <w:top w:type="dxa" w:w="60"/>
              <w:left w:type="dxa" w:w="100"/>
              <w:bottom w:type="dxa" w:w="60"/>
              <w:right w:type="dxa" w:w="100"/>
            </w:tcMar>
          </w:tcPr>
          <w:p>
            <w:pPr>
              <w:jc w:val="center"/>
            </w:pPr>
            <w:r>
              <w:rPr>
                <w:b w:val="false"/>
                <w:bCs w:val="false"/>
                <w:sz w:val="19"/>
                <w:szCs w:val="19"/>
              </w:rPr>
              <w:t xml:space="preserve">1.28 - 3.40</w:t>
            </w:r>
          </w:p>
        </w:tc>
        <w:tc>
          <w:tcPr>
            <w:tcW w:type="dxa" w:w="1800"/>
            <w:shd w:fill="FFFFFF" w:val="clear"/>
            <w:tcMar>
              <w:top w:type="dxa" w:w="60"/>
              <w:left w:type="dxa" w:w="100"/>
              <w:bottom w:type="dxa" w:w="60"/>
              <w:right w:type="dxa" w:w="100"/>
            </w:tcMar>
          </w:tcPr>
          <w:p>
            <w:pPr>
              <w:jc w:val="center"/>
            </w:pPr>
            <w:r>
              <w:rPr>
                <w:b w:val="false"/>
                <w:bCs w:val="false"/>
                <w:sz w:val="19"/>
                <w:szCs w:val="19"/>
              </w:rPr>
              <w:t xml:space="preserve">0.018</w:t>
            </w:r>
          </w:p>
        </w:tc>
      </w:tr>
      <w:tr>
        <w:tc>
          <w:tcPr>
            <w:tcW w:type="dxa" w:w="4400"/>
            <w:shd w:fill="F2F6FA" w:val="clear"/>
            <w:tcMar>
              <w:top w:type="dxa" w:w="60"/>
              <w:left w:type="dxa" w:w="100"/>
              <w:bottom w:type="dxa" w:w="60"/>
              <w:right w:type="dxa" w:w="100"/>
            </w:tcMar>
          </w:tcPr>
          <w:p>
            <w:pPr>
              <w:jc w:val="left"/>
            </w:pPr>
            <w:r>
              <w:rPr>
                <w:b w:val="false"/>
                <w:bCs w:val="false"/>
                <w:sz w:val="19"/>
                <w:szCs w:val="19"/>
              </w:rPr>
              <w:t xml:space="preserve">Non-Hispanic Asian (vs. White)</w:t>
            </w:r>
          </w:p>
        </w:tc>
        <w:tc>
          <w:tcPr>
            <w:tcW w:type="dxa" w:w="1600"/>
            <w:shd w:fill="F2F6FA" w:val="clear"/>
            <w:tcMar>
              <w:top w:type="dxa" w:w="60"/>
              <w:left w:type="dxa" w:w="100"/>
              <w:bottom w:type="dxa" w:w="60"/>
              <w:right w:type="dxa" w:w="100"/>
            </w:tcMar>
          </w:tcPr>
          <w:p>
            <w:pPr>
              <w:jc w:val="center"/>
            </w:pPr>
            <w:r>
              <w:rPr>
                <w:b/>
                <w:bCs/>
                <w:sz w:val="19"/>
                <w:szCs w:val="19"/>
              </w:rPr>
              <w:t xml:space="preserve">1.83</w:t>
            </w:r>
          </w:p>
        </w:tc>
        <w:tc>
          <w:tcPr>
            <w:tcW w:type="dxa" w:w="2400"/>
            <w:shd w:fill="F2F6FA" w:val="clear"/>
            <w:tcMar>
              <w:top w:type="dxa" w:w="60"/>
              <w:left w:type="dxa" w:w="100"/>
              <w:bottom w:type="dxa" w:w="60"/>
              <w:right w:type="dxa" w:w="100"/>
            </w:tcMar>
          </w:tcPr>
          <w:p>
            <w:pPr>
              <w:jc w:val="center"/>
            </w:pPr>
            <w:r>
              <w:rPr>
                <w:b w:val="false"/>
                <w:bCs w:val="false"/>
                <w:sz w:val="19"/>
                <w:szCs w:val="19"/>
              </w:rPr>
              <w:t xml:space="preserve">1.08 - 3.09</w:t>
            </w:r>
          </w:p>
        </w:tc>
        <w:tc>
          <w:tcPr>
            <w:tcW w:type="dxa" w:w="1800"/>
            <w:shd w:fill="F2F6FA" w:val="clear"/>
            <w:tcMar>
              <w:top w:type="dxa" w:w="60"/>
              <w:left w:type="dxa" w:w="100"/>
              <w:bottom w:type="dxa" w:w="60"/>
              <w:right w:type="dxa" w:w="100"/>
            </w:tcMar>
          </w:tcPr>
          <w:p>
            <w:pPr>
              <w:jc w:val="center"/>
            </w:pPr>
            <w:r>
              <w:rPr>
                <w:b w:val="false"/>
                <w:bCs w:val="false"/>
                <w:sz w:val="19"/>
                <w:szCs w:val="19"/>
              </w:rPr>
              <w:t xml:space="preserve">0.035</w:t>
            </w:r>
          </w:p>
        </w:tc>
      </w:tr>
      <w:tr>
        <w:tc>
          <w:tcPr>
            <w:tcW w:type="dxa" w:w="4400"/>
            <w:shd w:fill="FFFFFF" w:val="clear"/>
            <w:tcMar>
              <w:top w:type="dxa" w:w="60"/>
              <w:left w:type="dxa" w:w="100"/>
              <w:bottom w:type="dxa" w:w="60"/>
              <w:right w:type="dxa" w:w="100"/>
            </w:tcMar>
          </w:tcPr>
          <w:p>
            <w:pPr>
              <w:jc w:val="left"/>
            </w:pPr>
            <w:r>
              <w:rPr>
                <w:b w:val="false"/>
                <w:bCs w:val="false"/>
                <w:sz w:val="19"/>
                <w:szCs w:val="19"/>
              </w:rPr>
              <w:t xml:space="preserve">Overweight (vs. normal BMI)</w:t>
            </w:r>
          </w:p>
        </w:tc>
        <w:tc>
          <w:tcPr>
            <w:tcW w:type="dxa" w:w="1600"/>
            <w:shd w:fill="FFFFFF" w:val="clear"/>
            <w:tcMar>
              <w:top w:type="dxa" w:w="60"/>
              <w:left w:type="dxa" w:w="100"/>
              <w:bottom w:type="dxa" w:w="60"/>
              <w:right w:type="dxa" w:w="100"/>
            </w:tcMar>
          </w:tcPr>
          <w:p>
            <w:pPr>
              <w:jc w:val="center"/>
            </w:pPr>
            <w:r>
              <w:rPr>
                <w:b/>
                <w:bCs/>
                <w:sz w:val="19"/>
                <w:szCs w:val="19"/>
              </w:rPr>
              <w:t xml:space="preserve">1.53</w:t>
            </w:r>
          </w:p>
        </w:tc>
        <w:tc>
          <w:tcPr>
            <w:tcW w:type="dxa" w:w="2400"/>
            <w:shd w:fill="FFFFFF" w:val="clear"/>
            <w:tcMar>
              <w:top w:type="dxa" w:w="60"/>
              <w:left w:type="dxa" w:w="100"/>
              <w:bottom w:type="dxa" w:w="60"/>
              <w:right w:type="dxa" w:w="100"/>
            </w:tcMar>
          </w:tcPr>
          <w:p>
            <w:pPr>
              <w:jc w:val="center"/>
            </w:pPr>
            <w:r>
              <w:rPr>
                <w:b w:val="false"/>
                <w:bCs w:val="false"/>
                <w:sz w:val="19"/>
                <w:szCs w:val="19"/>
              </w:rPr>
              <w:t xml:space="preserve">0.92 - 2.54</w:t>
            </w:r>
          </w:p>
        </w:tc>
        <w:tc>
          <w:tcPr>
            <w:tcW w:type="dxa" w:w="1800"/>
            <w:shd w:fill="FFFFFF" w:val="clear"/>
            <w:tcMar>
              <w:top w:type="dxa" w:w="60"/>
              <w:left w:type="dxa" w:w="100"/>
              <w:bottom w:type="dxa" w:w="60"/>
              <w:right w:type="dxa" w:w="100"/>
            </w:tcMar>
          </w:tcPr>
          <w:p>
            <w:pPr>
              <w:jc w:val="center"/>
            </w:pPr>
            <w:r>
              <w:rPr>
                <w:b w:val="false"/>
                <w:bCs w:val="false"/>
                <w:sz w:val="19"/>
                <w:szCs w:val="19"/>
              </w:rPr>
              <w:t xml:space="preserve">0.076</w:t>
            </w:r>
          </w:p>
        </w:tc>
      </w:tr>
      <w:tr>
        <w:tc>
          <w:tcPr>
            <w:tcW w:type="dxa" w:w="4400"/>
            <w:shd w:fill="F2F6FA" w:val="clear"/>
            <w:tcMar>
              <w:top w:type="dxa" w:w="60"/>
              <w:left w:type="dxa" w:w="100"/>
              <w:bottom w:type="dxa" w:w="60"/>
              <w:right w:type="dxa" w:w="100"/>
            </w:tcMar>
          </w:tcPr>
          <w:p>
            <w:pPr>
              <w:jc w:val="left"/>
            </w:pPr>
            <w:r>
              <w:rPr>
                <w:b w:val="false"/>
                <w:bCs w:val="false"/>
                <w:sz w:val="19"/>
                <w:szCs w:val="19"/>
              </w:rPr>
              <w:t xml:space="preserve">Age (per year)</w:t>
            </w:r>
          </w:p>
        </w:tc>
        <w:tc>
          <w:tcPr>
            <w:tcW w:type="dxa" w:w="1600"/>
            <w:shd w:fill="F2F6FA" w:val="clear"/>
            <w:tcMar>
              <w:top w:type="dxa" w:w="60"/>
              <w:left w:type="dxa" w:w="100"/>
              <w:bottom w:type="dxa" w:w="60"/>
              <w:right w:type="dxa" w:w="100"/>
            </w:tcMar>
          </w:tcPr>
          <w:p>
            <w:pPr>
              <w:jc w:val="center"/>
            </w:pPr>
            <w:r>
              <w:rPr>
                <w:b/>
                <w:bCs/>
                <w:sz w:val="19"/>
                <w:szCs w:val="19"/>
              </w:rPr>
              <w:t xml:space="preserve">1.06</w:t>
            </w:r>
          </w:p>
        </w:tc>
        <w:tc>
          <w:tcPr>
            <w:tcW w:type="dxa" w:w="2400"/>
            <w:shd w:fill="F2F6FA" w:val="clear"/>
            <w:tcMar>
              <w:top w:type="dxa" w:w="60"/>
              <w:left w:type="dxa" w:w="100"/>
              <w:bottom w:type="dxa" w:w="60"/>
              <w:right w:type="dxa" w:w="100"/>
            </w:tcMar>
          </w:tcPr>
          <w:p>
            <w:pPr>
              <w:jc w:val="center"/>
            </w:pPr>
            <w:r>
              <w:rPr>
                <w:b w:val="false"/>
                <w:bCs w:val="false"/>
                <w:sz w:val="19"/>
                <w:szCs w:val="19"/>
              </w:rPr>
              <w:t xml:space="preserve">1.05 - 1.07</w:t>
            </w:r>
          </w:p>
        </w:tc>
        <w:tc>
          <w:tcPr>
            <w:tcW w:type="dxa" w:w="1800"/>
            <w:shd w:fill="F2F6FA" w:val="clear"/>
            <w:tcMar>
              <w:top w:type="dxa" w:w="60"/>
              <w:left w:type="dxa" w:w="100"/>
              <w:bottom w:type="dxa" w:w="60"/>
              <w:right w:type="dxa" w:w="100"/>
            </w:tcMar>
          </w:tcPr>
          <w:p>
            <w:pPr>
              <w:jc w:val="center"/>
            </w:pPr>
            <w:r>
              <w:rPr>
                <w:b w:val="false"/>
                <w:bCs w:val="false"/>
                <w:sz w:val="19"/>
                <w:szCs w:val="19"/>
              </w:rPr>
              <w:t xml:space="preserve">&lt;0.001</w:t>
            </w:r>
          </w:p>
        </w:tc>
      </w:tr>
      <w:tr>
        <w:tc>
          <w:tcPr>
            <w:tcW w:type="dxa" w:w="4400"/>
            <w:shd w:fill="FFFFFF" w:val="clear"/>
            <w:tcMar>
              <w:top w:type="dxa" w:w="60"/>
              <w:left w:type="dxa" w:w="100"/>
              <w:bottom w:type="dxa" w:w="60"/>
              <w:right w:type="dxa" w:w="100"/>
            </w:tcMar>
          </w:tcPr>
          <w:p>
            <w:pPr>
              <w:jc w:val="left"/>
            </w:pPr>
            <w:r>
              <w:rPr>
                <w:b w:val="false"/>
                <w:bCs w:val="false"/>
                <w:sz w:val="19"/>
                <w:szCs w:val="19"/>
              </w:rPr>
              <w:t xml:space="preserve">Total cholesterol (per mg/dL)</w:t>
            </w:r>
          </w:p>
        </w:tc>
        <w:tc>
          <w:tcPr>
            <w:tcW w:type="dxa" w:w="1600"/>
            <w:shd w:fill="FFFFFF" w:val="clear"/>
            <w:tcMar>
              <w:top w:type="dxa" w:w="60"/>
              <w:left w:type="dxa" w:w="100"/>
              <w:bottom w:type="dxa" w:w="60"/>
              <w:right w:type="dxa" w:w="100"/>
            </w:tcMar>
          </w:tcPr>
          <w:p>
            <w:pPr>
              <w:jc w:val="center"/>
            </w:pPr>
            <w:r>
              <w:rPr>
                <w:b/>
                <w:bCs/>
                <w:sz w:val="19"/>
                <w:szCs w:val="19"/>
              </w:rPr>
              <w:t xml:space="preserve">1.003</w:t>
            </w:r>
          </w:p>
        </w:tc>
        <w:tc>
          <w:tcPr>
            <w:tcW w:type="dxa" w:w="2400"/>
            <w:shd w:fill="FFFFFF" w:val="clear"/>
            <w:tcMar>
              <w:top w:type="dxa" w:w="60"/>
              <w:left w:type="dxa" w:w="100"/>
              <w:bottom w:type="dxa" w:w="60"/>
              <w:right w:type="dxa" w:w="100"/>
            </w:tcMar>
          </w:tcPr>
          <w:p>
            <w:pPr>
              <w:jc w:val="center"/>
            </w:pPr>
            <w:r>
              <w:rPr>
                <w:b w:val="false"/>
                <w:bCs w:val="false"/>
                <w:sz w:val="19"/>
                <w:szCs w:val="19"/>
              </w:rPr>
              <w:t xml:space="preserve">1.000 - 1.006</w:t>
            </w:r>
          </w:p>
        </w:tc>
        <w:tc>
          <w:tcPr>
            <w:tcW w:type="dxa" w:w="1800"/>
            <w:shd w:fill="FFFFFF" w:val="clear"/>
            <w:tcMar>
              <w:top w:type="dxa" w:w="60"/>
              <w:left w:type="dxa" w:w="100"/>
              <w:bottom w:type="dxa" w:w="60"/>
              <w:right w:type="dxa" w:w="100"/>
            </w:tcMar>
          </w:tcPr>
          <w:p>
            <w:pPr>
              <w:jc w:val="center"/>
            </w:pPr>
            <w:r>
              <w:rPr>
                <w:b w:val="false"/>
                <w:bCs w:val="false"/>
                <w:sz w:val="19"/>
                <w:szCs w:val="19"/>
              </w:rPr>
              <w:t xml:space="preserve">0.038</w:t>
            </w:r>
          </w:p>
        </w:tc>
      </w:tr>
      <w:tr>
        <w:tc>
          <w:tcPr>
            <w:tcW w:type="dxa" w:w="4400"/>
            <w:shd w:fill="F2F6FA" w:val="clear"/>
            <w:tcMar>
              <w:top w:type="dxa" w:w="60"/>
              <w:left w:type="dxa" w:w="100"/>
              <w:bottom w:type="dxa" w:w="60"/>
              <w:right w:type="dxa" w:w="100"/>
            </w:tcMar>
          </w:tcPr>
          <w:p>
            <w:pPr>
              <w:jc w:val="left"/>
            </w:pPr>
            <w:r>
              <w:rPr>
                <w:b w:val="false"/>
                <w:bCs w:val="false"/>
                <w:sz w:val="19"/>
                <w:szCs w:val="19"/>
              </w:rPr>
              <w:t xml:space="preserve">Female sex</w:t>
            </w:r>
          </w:p>
        </w:tc>
        <w:tc>
          <w:tcPr>
            <w:tcW w:type="dxa" w:w="1600"/>
            <w:shd w:fill="F2F6FA" w:val="clear"/>
            <w:tcMar>
              <w:top w:type="dxa" w:w="60"/>
              <w:left w:type="dxa" w:w="100"/>
              <w:bottom w:type="dxa" w:w="60"/>
              <w:right w:type="dxa" w:w="100"/>
            </w:tcMar>
          </w:tcPr>
          <w:p>
            <w:pPr>
              <w:jc w:val="center"/>
            </w:pPr>
            <w:r>
              <w:rPr>
                <w:b/>
                <w:bCs/>
                <w:sz w:val="19"/>
                <w:szCs w:val="19"/>
              </w:rPr>
              <w:t xml:space="preserve">0.64</w:t>
            </w:r>
          </w:p>
        </w:tc>
        <w:tc>
          <w:tcPr>
            <w:tcW w:type="dxa" w:w="2400"/>
            <w:shd w:fill="F2F6FA" w:val="clear"/>
            <w:tcMar>
              <w:top w:type="dxa" w:w="60"/>
              <w:left w:type="dxa" w:w="100"/>
              <w:bottom w:type="dxa" w:w="60"/>
              <w:right w:type="dxa" w:w="100"/>
            </w:tcMar>
          </w:tcPr>
          <w:p>
            <w:pPr>
              <w:jc w:val="center"/>
            </w:pPr>
            <w:r>
              <w:rPr>
                <w:b w:val="false"/>
                <w:bCs w:val="false"/>
                <w:sz w:val="19"/>
                <w:szCs w:val="19"/>
              </w:rPr>
              <w:t xml:space="preserve">0.41 - 1.01</w:t>
            </w:r>
          </w:p>
        </w:tc>
        <w:tc>
          <w:tcPr>
            <w:tcW w:type="dxa" w:w="1800"/>
            <w:shd w:fill="F2F6FA" w:val="clear"/>
            <w:tcMar>
              <w:top w:type="dxa" w:w="60"/>
              <w:left w:type="dxa" w:w="100"/>
              <w:bottom w:type="dxa" w:w="60"/>
              <w:right w:type="dxa" w:w="100"/>
            </w:tcMar>
          </w:tcPr>
          <w:p>
            <w:pPr>
              <w:jc w:val="center"/>
            </w:pPr>
            <w:r>
              <w:rPr>
                <w:b w:val="false"/>
                <w:bCs w:val="false"/>
                <w:sz w:val="19"/>
                <w:szCs w:val="19"/>
              </w:rPr>
              <w:t xml:space="preserve">0.053</w:t>
            </w:r>
          </w:p>
        </w:tc>
      </w:tr>
      <w:tr>
        <w:tc>
          <w:tcPr>
            <w:tcW w:type="dxa" w:w="4400"/>
            <w:shd w:fill="FFFFFF" w:val="clear"/>
            <w:tcMar>
              <w:top w:type="dxa" w:w="60"/>
              <w:left w:type="dxa" w:w="100"/>
              <w:bottom w:type="dxa" w:w="60"/>
              <w:right w:type="dxa" w:w="100"/>
            </w:tcMar>
          </w:tcPr>
          <w:p>
            <w:pPr>
              <w:jc w:val="left"/>
            </w:pPr>
            <w:r>
              <w:rPr>
                <w:b w:val="false"/>
                <w:bCs w:val="false"/>
                <w:sz w:val="19"/>
                <w:szCs w:val="19"/>
              </w:rPr>
              <w:t xml:space="preserve">Meets physical activity guidelines</w:t>
            </w:r>
          </w:p>
        </w:tc>
        <w:tc>
          <w:tcPr>
            <w:tcW w:type="dxa" w:w="1600"/>
            <w:shd w:fill="FFFFFF" w:val="clear"/>
            <w:tcMar>
              <w:top w:type="dxa" w:w="60"/>
              <w:left w:type="dxa" w:w="100"/>
              <w:bottom w:type="dxa" w:w="60"/>
              <w:right w:type="dxa" w:w="100"/>
            </w:tcMar>
          </w:tcPr>
          <w:p>
            <w:pPr>
              <w:jc w:val="center"/>
            </w:pPr>
            <w:r>
              <w:rPr>
                <w:b/>
                <w:bCs/>
                <w:sz w:val="19"/>
                <w:szCs w:val="19"/>
              </w:rPr>
              <w:t xml:space="preserve">0.74</w:t>
            </w:r>
          </w:p>
        </w:tc>
        <w:tc>
          <w:tcPr>
            <w:tcW w:type="dxa" w:w="2400"/>
            <w:shd w:fill="FFFFFF" w:val="clear"/>
            <w:tcMar>
              <w:top w:type="dxa" w:w="60"/>
              <w:left w:type="dxa" w:w="100"/>
              <w:bottom w:type="dxa" w:w="60"/>
              <w:right w:type="dxa" w:w="100"/>
            </w:tcMar>
          </w:tcPr>
          <w:p>
            <w:pPr>
              <w:jc w:val="center"/>
            </w:pPr>
            <w:r>
              <w:rPr>
                <w:b w:val="false"/>
                <w:bCs w:val="false"/>
                <w:sz w:val="19"/>
                <w:szCs w:val="19"/>
              </w:rPr>
              <w:t xml:space="preserve">0.55 - 0.99</w:t>
            </w:r>
          </w:p>
        </w:tc>
        <w:tc>
          <w:tcPr>
            <w:tcW w:type="dxa" w:w="1800"/>
            <w:shd w:fill="FFFFFF" w:val="clear"/>
            <w:tcMar>
              <w:top w:type="dxa" w:w="60"/>
              <w:left w:type="dxa" w:w="100"/>
              <w:bottom w:type="dxa" w:w="60"/>
              <w:right w:type="dxa" w:w="100"/>
            </w:tcMar>
          </w:tcPr>
          <w:p>
            <w:pPr>
              <w:jc w:val="center"/>
            </w:pPr>
            <w:r>
              <w:rPr>
                <w:b w:val="false"/>
                <w:bCs w:val="false"/>
                <w:sz w:val="19"/>
                <w:szCs w:val="19"/>
              </w:rPr>
              <w:t xml:space="preserve">0.047</w:t>
            </w:r>
          </w:p>
        </w:tc>
      </w:tr>
    </w:tbl>
    <w:p>
      <w:pPr>
        <w:spacing w:after="80" w:before="2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24350"/>
                    </a:xfrm>
                    <a:prstGeom prst="rect">
                      <a:avLst/>
                    </a:prstGeom>
                  </pic:spPr>
                </pic:pic>
              </a:graphicData>
            </a:graphic>
          </wp:inline>
        </w:drawing>
      </w:r>
    </w:p>
    <w:p>
      <w:pPr>
        <w:spacing w:after="240"/>
        <w:jc w:val="center"/>
      </w:pPr>
      <w:r>
        <w:rPr>
          <w:i/>
          <w:iCs/>
          <w:color w:val="595959"/>
          <w:sz w:val="18"/>
          <w:szCs w:val="18"/>
        </w:rPr>
        <w:t xml:space="preserve">Figure 3. Adjusted odds ratios for hypertension, 95% CI, log scale (all 22 model terms).</w:t>
      </w:r>
    </w:p>
    <w:p>
      <w:pPr>
        <w:pStyle w:val="Heading1"/>
        <w:spacing w:after="160" w:before="360"/>
      </w:pPr>
      <w:r>
        <w:t xml:space="preserve">Model Diagnostics</w:t>
      </w:r>
    </w:p>
    <w:p>
      <w:pPr>
        <w:spacing w:after="160" w:line="276"/>
      </w:pPr>
      <w:r>
        <w:t xml:space="preserve">Multicollinearity was checked with generalized variance inflation factors (car::vif) — all GVIF^(1/(2·Df)) values were below 4.7, indicating no problematic collinearity among predictors. Linearity of the continuous age term was checked via a restricted cubic spline and a survey-adjusted Wald test (regTermTest); the test did not reach significance (p = 0.078), though on only 1 denominator degree of freedom — see Limitations. Calibration was assessed by comparing weighted mean predicted probability to weighted observed prevalence across deciles of predicted risk, restricted to the complete-case sample the model was fit on.</w:t>
      </w:r>
    </w:p>
    <w:p>
      <w:pPr>
        <w:spacing w:after="80" w:before="200"/>
        <w:jc w:val="center"/>
      </w:pPr>
      <w:r>
        <w:drawing>
          <wp:inline distT="0" distB="0" distL="0" distR="0">
            <wp:extent cx="47529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4752975"/>
                    </a:xfrm>
                    <a:prstGeom prst="rect">
                      <a:avLst/>
                    </a:prstGeom>
                  </pic:spPr>
                </pic:pic>
              </a:graphicData>
            </a:graphic>
          </wp:inline>
        </w:drawing>
      </w:r>
    </w:p>
    <w:p>
      <w:pPr>
        <w:spacing w:after="240"/>
        <w:jc w:val="center"/>
      </w:pPr>
      <w:r>
        <w:rPr>
          <w:i/>
          <w:iCs/>
          <w:color w:val="595959"/>
          <w:sz w:val="18"/>
          <w:szCs w:val="18"/>
        </w:rPr>
        <w:t xml:space="preserve">Figure 4. Calibration: predicted vs. observed hypertension prevalence by decile of predicted risk.</w:t>
      </w:r>
    </w:p>
    <w:p>
      <w:pPr>
        <w:pStyle w:val="Heading1"/>
        <w:spacing w:after="160" w:before="360"/>
      </w:pPr>
      <w:r>
        <w:t xml:space="preserve">Sensitivity Analyses</w:t>
      </w:r>
    </w:p>
    <w:p>
      <w:pPr>
        <w:spacing w:after="160" w:line="276"/>
      </w:pPr>
      <w:r>
        <w:t xml:space="preserve">Four checks probe whether the core conclusions are robust to specific analytic choices, rather than assuming they are.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6800"/>
      </w:tblGrid>
      <w:tr>
        <w:trPr>
          <w:tblHeader/>
        </w:trPr>
        <w:tc>
          <w:tcPr>
            <w:tcW w:type="dxa" w:w="3400"/>
            <w:shd w:fill="1F3864" w:val="clear"/>
            <w:tcMar>
              <w:top w:type="dxa" w:w="60"/>
              <w:left w:type="dxa" w:w="100"/>
              <w:bottom w:type="dxa" w:w="60"/>
              <w:right w:type="dxa" w:w="100"/>
            </w:tcMar>
          </w:tcPr>
          <w:p>
            <w:pPr>
              <w:jc w:val="left"/>
            </w:pPr>
            <w:r>
              <w:rPr>
                <w:b/>
                <w:bCs/>
                <w:color w:val="FFFFFF"/>
                <w:sz w:val="19"/>
                <w:szCs w:val="19"/>
              </w:rPr>
              <w:t xml:space="preserve">Check</w:t>
            </w:r>
          </w:p>
        </w:tc>
        <w:tc>
          <w:tcPr>
            <w:tcW w:type="dxa" w:w="6800"/>
            <w:shd w:fill="1F3864" w:val="clear"/>
            <w:tcMar>
              <w:top w:type="dxa" w:w="60"/>
              <w:left w:type="dxa" w:w="100"/>
              <w:bottom w:type="dxa" w:w="60"/>
              <w:right w:type="dxa" w:w="100"/>
            </w:tcMar>
          </w:tcPr>
          <w:p>
            <w:pPr>
              <w:jc w:val="left"/>
            </w:pPr>
            <w:r>
              <w:rPr>
                <w:b/>
                <w:bCs/>
                <w:color w:val="FFFFFF"/>
                <w:sz w:val="19"/>
                <w:szCs w:val="19"/>
              </w:rPr>
              <w:t xml:space="preserve">Finding</w:t>
            </w:r>
          </w:p>
        </w:tc>
      </w:tr>
      <w:tr>
        <w:tc>
          <w:tcPr>
            <w:tcW w:type="dxa" w:w="3400"/>
            <w:shd w:fill="F2F6FA" w:val="clear"/>
            <w:tcMar>
              <w:top w:type="dxa" w:w="60"/>
              <w:left w:type="dxa" w:w="100"/>
              <w:bottom w:type="dxa" w:w="60"/>
              <w:right w:type="dxa" w:w="100"/>
            </w:tcMar>
          </w:tcPr>
          <w:p>
            <w:pPr>
              <w:jc w:val="left"/>
            </w:pPr>
            <w:r>
              <w:rPr>
                <w:b/>
                <w:bCs/>
                <w:sz w:val="19"/>
                <w:szCs w:val="19"/>
              </w:rPr>
              <w:t xml:space="preserve">Alternative outcome definition (JNC7 vs. ACC/AHA 2017)</w:t>
            </w:r>
          </w:p>
        </w:tc>
        <w:tc>
          <w:tcPr>
            <w:tcW w:type="dxa" w:w="6800"/>
            <w:shd w:fill="F2F6FA" w:val="clear"/>
            <w:tcMar>
              <w:top w:type="dxa" w:w="60"/>
              <w:left w:type="dxa" w:w="100"/>
              <w:bottom w:type="dxa" w:w="60"/>
              <w:right w:type="dxa" w:w="100"/>
            </w:tcMar>
          </w:tcPr>
          <w:p>
            <w:pPr>
              <w:jc w:val="left"/>
            </w:pPr>
            <w:r>
              <w:rPr>
                <w:b w:val="false"/>
                <w:bCs w:val="false"/>
                <w:sz w:val="19"/>
                <w:szCs w:val="19"/>
              </w:rPr>
              <w:t xml:space="preserve">Same predictors, same direction of effect (e.g., obesity OR 3.25 under ACC/AHA 2017 vs. 2.78 under JNC7) -- conclusions do not depend on which BP threshold is used.</w:t>
            </w:r>
          </w:p>
        </w:tc>
      </w:tr>
      <w:tr>
        <w:tc>
          <w:tcPr>
            <w:tcW w:type="dxa" w:w="3400"/>
            <w:shd w:fill="FFFFFF" w:val="clear"/>
            <w:tcMar>
              <w:top w:type="dxa" w:w="60"/>
              <w:left w:type="dxa" w:w="100"/>
              <w:bottom w:type="dxa" w:w="60"/>
              <w:right w:type="dxa" w:w="100"/>
            </w:tcMar>
          </w:tcPr>
          <w:p>
            <w:pPr>
              <w:jc w:val="left"/>
            </w:pPr>
            <w:r>
              <w:rPr>
                <w:b/>
                <w:bCs/>
                <w:sz w:val="19"/>
                <w:szCs w:val="19"/>
              </w:rPr>
              <w:t xml:space="preserve">Excluding already-treated adults</w:t>
            </w:r>
          </w:p>
        </w:tc>
        <w:tc>
          <w:tcPr>
            <w:tcW w:type="dxa" w:w="6800"/>
            <w:shd w:fill="FFFFFF" w:val="clear"/>
            <w:tcMar>
              <w:top w:type="dxa" w:w="60"/>
              <w:left w:type="dxa" w:w="100"/>
              <w:bottom w:type="dxa" w:w="60"/>
              <w:right w:type="dxa" w:w="100"/>
            </w:tcMar>
          </w:tcPr>
          <w:p>
            <w:pPr>
              <w:jc w:val="left"/>
            </w:pPr>
            <w:r>
              <w:rPr>
                <w:b w:val="false"/>
                <w:bCs w:val="false"/>
                <w:sz w:val="19"/>
                <w:szCs w:val="19"/>
              </w:rPr>
              <w:t xml:space="preserve">Age (OR 1.03) and sex (OR 0.59) associations persist in the untreated-only subgroup, confirming these are not artifacts of who receives treatment.</w:t>
            </w:r>
          </w:p>
        </w:tc>
      </w:tr>
      <w:tr>
        <w:tc>
          <w:tcPr>
            <w:tcW w:type="dxa" w:w="3400"/>
            <w:shd w:fill="F2F6FA" w:val="clear"/>
            <w:tcMar>
              <w:top w:type="dxa" w:w="60"/>
              <w:left w:type="dxa" w:w="100"/>
              <w:bottom w:type="dxa" w:w="60"/>
              <w:right w:type="dxa" w:w="100"/>
            </w:tcMar>
          </w:tcPr>
          <w:p>
            <w:pPr>
              <w:jc w:val="left"/>
            </w:pPr>
            <w:r>
              <w:rPr>
                <w:b/>
                <w:bCs/>
                <w:sz w:val="19"/>
                <w:szCs w:val="19"/>
              </w:rPr>
              <w:t xml:space="preserve">Survey-weighted vs. naive (unweighted) model</w:t>
            </w:r>
          </w:p>
        </w:tc>
        <w:tc>
          <w:tcPr>
            <w:tcW w:type="dxa" w:w="6800"/>
            <w:shd w:fill="F2F6FA" w:val="clear"/>
            <w:tcMar>
              <w:top w:type="dxa" w:w="60"/>
              <w:left w:type="dxa" w:w="100"/>
              <w:bottom w:type="dxa" w:w="60"/>
              <w:right w:type="dxa" w:w="100"/>
            </w:tcMar>
          </w:tcPr>
          <w:p>
            <w:pPr>
              <w:jc w:val="left"/>
            </w:pPr>
            <w:r>
              <w:rPr>
                <w:b w:val="false"/>
                <w:bCs w:val="false"/>
                <w:sz w:val="19"/>
                <w:szCs w:val="19"/>
              </w:rPr>
              <w:t xml:space="preserve">Point estimates are similar, but the naive model's CIs are consistently narrower (e.g., age p = 8.3x10⁻¹⁴⁶ naive vs. p = 5.8x10⁻⁴ design-based) -- concrete evidence that ignoring NHANES's clustering/weighting overstates precision.</w:t>
            </w:r>
          </w:p>
        </w:tc>
      </w:tr>
      <w:tr>
        <w:tc>
          <w:tcPr>
            <w:tcW w:type="dxa" w:w="3400"/>
            <w:shd w:fill="FFFFFF" w:val="clear"/>
            <w:tcMar>
              <w:top w:type="dxa" w:w="60"/>
              <w:left w:type="dxa" w:w="100"/>
              <w:bottom w:type="dxa" w:w="60"/>
              <w:right w:type="dxa" w:w="100"/>
            </w:tcMar>
          </w:tcPr>
          <w:p>
            <w:pPr>
              <w:jc w:val="left"/>
            </w:pPr>
            <w:r>
              <w:rPr>
                <w:b/>
                <w:bCs/>
                <w:sz w:val="19"/>
                <w:szCs w:val="19"/>
              </w:rPr>
              <w:t xml:space="preserve">Dietary sodium (Day-1 recall subsample)</w:t>
            </w:r>
          </w:p>
        </w:tc>
        <w:tc>
          <w:tcPr>
            <w:tcW w:type="dxa" w:w="6800"/>
            <w:shd w:fill="FFFFFF" w:val="clear"/>
            <w:tcMar>
              <w:top w:type="dxa" w:w="60"/>
              <w:left w:type="dxa" w:w="100"/>
              <w:bottom w:type="dxa" w:w="60"/>
              <w:right w:type="dxa" w:w="100"/>
            </w:tcMar>
          </w:tcPr>
          <w:p>
            <w:pPr>
              <w:jc w:val="left"/>
            </w:pPr>
            <w:r>
              <w:rPr>
                <w:b w:val="false"/>
                <w:bCs w:val="false"/>
                <w:sz w:val="19"/>
                <w:szCs w:val="19"/>
              </w:rPr>
              <w:t xml:space="preserve">No significant independent association (sodium p = 0.78; energy p = 0.77) once core risk factors are in the model -- read as “no signal detected,” not “sodium doesn't matter,” given the noise in a single day's recall.</w:t>
            </w:r>
          </w:p>
        </w:tc>
      </w:tr>
    </w:tbl>
    <w:p>
      <w:pPr>
        <w:pStyle w:val="Heading1"/>
        <w:spacing w:after="160" w:before="360"/>
      </w:pPr>
      <w:r>
        <w:t xml:space="preserve">Interpretation</w:t>
      </w:r>
    </w:p>
    <w:p>
      <w:pPr>
        <w:spacing w:after="160" w:line="276"/>
      </w:pPr>
      <w:r>
        <w:t xml:space="preserve">Obesity, diabetes, heavy alcohol use, and age are the strongest independent predictors of hypertension in this sample, with obesity showing the single largest effect size (OR 3.25, 95% CI 2.29–4.62) — consistent with the well-established obesity-hypertension literature and the visible gradient in Figure 1. Meeting physical activity guidelines is independently protective (OR 0.74, 95% CI 0.55–0.99). Race/ethnicity disparities are evident and persist after adjustment: Non-Hispanic Black adults have roughly double the odds of hypertension of Non-Hispanic White adults (OR 2.08, 95% CI 1.28–3.40) even after accounting for age, BMI, income, and the other covariates in the model — pointing to factors beyond those measured here (e.g., chronic stress, access to care, structural factors) as worth further investigation.</w:t>
      </w:r>
    </w:p>
    <w:p>
      <w:pPr>
        <w:spacing w:after="160" w:line="276"/>
      </w:pPr>
      <w:r>
        <w:t xml:space="preserve">Dietary sodium showed no significant independent association with hypertension once core risk factors were already in the model. This should be read as “no signal detected in this data,” not as evidence that sodium is unimportant — a single day's dietary recall is a genuinely noisy proxy for usual intake, one of this analysis's clearest limitations.</w:t>
      </w:r>
    </w:p>
    <w:p>
      <w:pPr>
        <w:spacing w:after="160" w:line="276"/>
      </w:pPr>
      <w:r>
        <w:t xml:space="preserve">The side-by-side weighted-vs-naive comparison makes the survey-design point concrete rather than asserted: point estimates are similar between the two approaches, but the naive (unweighted, i.i.d.) model's confidence intervals are consistently narrower and its p-values far smaller — exactly the overconfident precision that ignoring NHANES's clustering and weighting would otherwise produce.</w:t>
      </w:r>
    </w:p>
    <w:p>
      <w:pPr>
        <w:pStyle w:val="Heading1"/>
        <w:spacing w:after="160" w:before="360"/>
      </w:pPr>
      <w:r>
        <w:t xml:space="preserve">Limitations</w:t>
      </w:r>
    </w:p>
    <w:p>
      <w:pPr>
        <w:pStyle w:val="ListParagraph"/>
        <w:numPr>
          <w:ilvl w:val="0"/>
          <w:numId w:val="1"/>
        </w:numPr>
        <w:spacing w:after="100" w:line="276"/>
      </w:pPr>
      <w:r>
        <w:t xml:space="preserve">Cross-sectional design — no temporal ordering; associations cannot establish causal direction (e.g., whether inactivity causes hypertension or hypertension-related symptoms reduce activity).</w:t>
      </w:r>
    </w:p>
    <w:p>
      <w:pPr>
        <w:pStyle w:val="ListParagraph"/>
        <w:numPr>
          <w:ilvl w:val="0"/>
          <w:numId w:val="1"/>
        </w:numPr>
        <w:spacing w:after="100" w:line="276"/>
      </w:pPr>
      <w:r>
        <w:t xml:space="preserve">Design degrees of freedom are very low after domain-subsetting: several Wald-type tests (e.g., the age-linearity spline test, F on 3 and 1 denominator df) have only a handful of denominator degrees of freedom once the design is subset to the adult/valid-outcome domain — a real constraint on precision for this specific pre-pandemic combined cycle, visible in how much wider several adjusted CIs are than their naive-model counterparts.</w:t>
      </w:r>
    </w:p>
    <w:p>
      <w:pPr>
        <w:pStyle w:val="ListParagraph"/>
        <w:numPr>
          <w:ilvl w:val="0"/>
          <w:numId w:val="1"/>
        </w:numPr>
        <w:spacing w:after="100" w:line="276"/>
      </w:pPr>
      <w:r>
        <w:t xml:space="preserve">Self-reported smoking, alcohol, and diabetes status are subject to social-desirability and recall bias.</w:t>
      </w:r>
    </w:p>
    <w:p>
      <w:pPr>
        <w:pStyle w:val="ListParagraph"/>
        <w:numPr>
          <w:ilvl w:val="0"/>
          <w:numId w:val="1"/>
        </w:numPr>
        <w:spacing w:after="100" w:line="276"/>
      </w:pPr>
      <w:r>
        <w:t xml:space="preserve">A single day's dietary recall is a noisy proxy for usual sodium intake — the classic nutritional-epidemiology caveat, and the reason the null diet finding is read cautiously.</w:t>
      </w:r>
    </w:p>
    <w:p>
      <w:pPr>
        <w:pStyle w:val="ListParagraph"/>
        <w:numPr>
          <w:ilvl w:val="0"/>
          <w:numId w:val="1"/>
        </w:numPr>
        <w:spacing w:after="100" w:line="276"/>
      </w:pPr>
      <w:r>
        <w:t xml:space="preserve">Complete-case handling of income-to-poverty-ratio missingness assumes the data are missing at random (MAR).</w:t>
      </w:r>
    </w:p>
    <w:p>
      <w:pPr>
        <w:pStyle w:val="Heading1"/>
        <w:spacing w:after="160" w:before="360"/>
      </w:pPr>
      <w:r>
        <w:t xml:space="preserve">Next Steps</w:t>
      </w:r>
    </w:p>
    <w:p>
      <w:pPr>
        <w:pStyle w:val="ListParagraph"/>
        <w:numPr>
          <w:ilvl w:val="0"/>
          <w:numId w:val="1"/>
        </w:numPr>
        <w:spacing w:after="100" w:line="276"/>
      </w:pPr>
      <w:r>
        <w:t xml:space="preserve">Multiple imputation combined with survey's replicate-weight machinery (mitools + survey) as a robustness check on the missingness assumption.</w:t>
      </w:r>
    </w:p>
    <w:p>
      <w:pPr>
        <w:pStyle w:val="ListParagraph"/>
        <w:numPr>
          <w:ilvl w:val="0"/>
          <w:numId w:val="1"/>
        </w:numPr>
        <w:spacing w:after="100" w:line="276"/>
      </w:pPr>
      <w:r>
        <w:t xml:space="preserve">A restricted cubic spline on total cholesterol, and stratified models by sex or age group if effect modification is suspected.</w:t>
      </w:r>
    </w:p>
    <w:p>
      <w:pPr>
        <w:pStyle w:val="ListParagraph"/>
        <w:numPr>
          <w:ilvl w:val="0"/>
          <w:numId w:val="1"/>
        </w:numPr>
        <w:spacing w:after="100" w:line="276"/>
      </w:pPr>
      <w:r>
        <w:t xml:space="preserve">Given how few design degrees of freedom remain after subsetting, check whether an alternative variance estimator (e.g., balanced repeated replication weights, if released for this cycle) narrows the adjusted CIs meaningfully.</w:t>
      </w:r>
    </w:p>
    <w:p>
      <w:pPr>
        <w:pStyle w:val="Heading1"/>
        <w:spacing w:after="160" w:before="360"/>
      </w:pPr>
      <w:r>
        <w:t xml:space="preserve">Methods Summary</w:t>
      </w:r>
    </w:p>
    <w:p>
      <w:pPr>
        <w:pStyle w:val="ListParagraph"/>
        <w:numPr>
          <w:ilvl w:val="0"/>
          <w:numId w:val="1"/>
        </w:numPr>
        <w:spacing w:after="100" w:line="276"/>
      </w:pPr>
      <w:r>
        <w:t xml:space="preserve">Merge ten NHANES modules on SEQN; derive the outcome and every lifestyle/clinical predictor with documented derivation logic (raw, untranslated NHANES codes throughout — see Data Notes).</w:t>
      </w:r>
    </w:p>
    <w:p>
      <w:pPr>
        <w:pStyle w:val="ListParagraph"/>
        <w:numPr>
          <w:ilvl w:val="0"/>
          <w:numId w:val="1"/>
        </w:numPr>
        <w:spacing w:after="100" w:line="276"/>
      </w:pPr>
      <w:r>
        <w:t xml:space="preserve">Build the survey design on the full sample first, then subset() down to the analytic domain — preserving correct variance estimation, unlike filtering the raw data frame before designing.</w:t>
      </w:r>
    </w:p>
    <w:p>
      <w:pPr>
        <w:pStyle w:val="ListParagraph"/>
        <w:numPr>
          <w:ilvl w:val="0"/>
          <w:numId w:val="1"/>
        </w:numPr>
        <w:spacing w:after="100" w:line="276"/>
      </w:pPr>
      <w:r>
        <w:t xml:space="preserve">Weighted Table 1, weighted prevalence estimates, weighted exploratory analysis.</w:t>
      </w:r>
    </w:p>
    <w:p>
      <w:pPr>
        <w:pStyle w:val="ListParagraph"/>
        <w:numPr>
          <w:ilvl w:val="0"/>
          <w:numId w:val="1"/>
        </w:numPr>
        <w:spacing w:after="100" w:line="276"/>
      </w:pPr>
      <w:r>
        <w:t xml:space="preserve">Crude (unadjusted) and adjusted multivariable svyglm (quasibinomial) models; odds ratios with 95% CI; forest plot.</w:t>
      </w:r>
    </w:p>
    <w:p>
      <w:pPr>
        <w:pStyle w:val="ListParagraph"/>
        <w:numPr>
          <w:ilvl w:val="0"/>
          <w:numId w:val="1"/>
        </w:numPr>
        <w:spacing w:after="100" w:line="276"/>
      </w:pPr>
      <w:r>
        <w:t xml:space="preserve">Diagnostics: multicollinearity (car::vif), linearity of continuous predictors (spline term + survey-adjusted Wald test), and a weighted decile calibration table.</w:t>
      </w:r>
    </w:p>
    <w:p>
      <w:pPr>
        <w:pStyle w:val="ListParagraph"/>
        <w:numPr>
          <w:ilvl w:val="0"/>
          <w:numId w:val="1"/>
        </w:numPr>
        <w:spacing w:after="100" w:line="276"/>
      </w:pPr>
      <w:r>
        <w:t xml:space="preserve">Sensitivity analyses: alternate hypertension definition (JNC7), excluding already-treated participants, survey-weighted vs. naive unweighted model, and a diet-augmented model on the dietary-recall subsample using its own weight.</w:t>
      </w:r>
    </w:p>
    <w:p>
      <w:pPr>
        <w:pStyle w:val="Heading1"/>
        <w:spacing w:after="160" w:before="360"/>
      </w:pPr>
      <w:r>
        <w:t xml:space="preserve">Data Notes</w:t>
      </w:r>
    </w:p>
    <w:p>
      <w:pPr>
        <w:spacing w:after="160" w:line="276"/>
      </w:pPr>
      <w:r>
        <w:rPr>
          <w:i/>
          <w:iCs/>
          <w:color w:val="595959"/>
          <w:sz w:val="19"/>
          <w:szCs w:val="19"/>
        </w:rPr>
        <w:t xml:space="preserve">nhanesA::nhanes() defaults to translated = TRUE, which silently converts every coded NHANES variable (RIDSTATR, PAQ605, SMQ020, ALQ121, DIQ010, BPQ050A, DR1DRSTZ, etc.) from its documented numeric code into a labeled factor. Every derivation in this project is written against the raw numeric codebook, so the download step explicitly forces translated = FALSE to keep every variable as the plain numeric code CDC's documentation describes.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Demographic, Lifestyle, and Clinical Correlates of Hypertension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4ef53202274cacd41c89bb10284a08b394e0d2.png"/><Relationship Id="rId10" Type="http://schemas.openxmlformats.org/officeDocument/2006/relationships/image" Target="media/4137ca484ab5f3491ec3fa18cf03d19fae3ef617.png"/><Relationship Id="rId11" Type="http://schemas.openxmlformats.org/officeDocument/2006/relationships/image" Target="media/422e314d2c1f396b9dedfb0f5ef5029890d19ff1.png"/><Relationship Id="rId12" Type="http://schemas.openxmlformats.org/officeDocument/2006/relationships/image" Target="media/f0736ca998ad774c656c86002b2eda55a0809de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2026-09-28T20:21:02.506Z</dcterms:created>
  <dcterms:modified xsi:type="dcterms:W3CDTF">2026-09-28T20:21:02.506Z</dcterms:modified>
</cp:coreProperties>
</file>

<file path=docProps/custom.xml><?xml version="1.0" encoding="utf-8"?>
<Properties xmlns="http://schemas.openxmlformats.org/officeDocument/2006/custom-properties" xmlns:vt="http://schemas.openxmlformats.org/officeDocument/2006/docPropsVTypes"/>
</file>