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7B" w:rsidRDefault="00AC467B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</w:p>
    <w:p w:rsidR="00AC467B" w:rsidRDefault="00AC467B" w:rsidP="00E96C6D">
      <w:pPr>
        <w:pStyle w:val="checkmark"/>
        <w:rPr>
          <w:w w:val="100"/>
        </w:rPr>
      </w:pPr>
    </w:p>
    <w:p w:rsidR="00E96C6D" w:rsidRDefault="00AC467B" w:rsidP="00E96C6D">
      <w:pPr>
        <w:pStyle w:val="checkmark"/>
        <w:rPr>
          <w:w w:val="100"/>
        </w:rPr>
      </w:pPr>
      <w:r>
        <w:rPr>
          <w:noProof/>
        </w:rPr>
        <w:drawing>
          <wp:inline distT="0" distB="0" distL="0" distR="0" wp14:anchorId="1B3C2CCF" wp14:editId="6E8FD27E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AF1342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4D2DFA" w:rsidRDefault="004D2DFA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AE4CB4" w:rsidRPr="0049465E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49465E" w:rsidRDefault="00AE4CB4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49465E" w:rsidRDefault="00AE4CB4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49465E" w:rsidRDefault="00AE4CB4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49465E" w:rsidRDefault="00AE4CB4" w:rsidP="004457D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43737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17.1 | Check Number and Check Date is mandatory for Printed Payment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43586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17.1 | </w:t>
            </w:r>
            <w:proofErr w:type="spellStart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EFT_Flag</w:t>
            </w:r>
            <w:proofErr w:type="spellEnd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set to zero for EFT payment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43587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17.1 | Funds | </w:t>
            </w:r>
            <w:proofErr w:type="spellStart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Void_Date</w:t>
            </w:r>
            <w:proofErr w:type="spellEnd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column is not getting populated when </w:t>
            </w:r>
            <w:proofErr w:type="spellStart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cleared_flag</w:t>
            </w:r>
            <w:proofErr w:type="spellEnd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 TRUE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bookmarkStart w:id="18" w:name="_GoBack"/>
            <w:bookmarkEnd w:id="18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42844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17.1 | payment being imported without specifying the payee.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43585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 17.1 | </w:t>
            </w:r>
            <w:proofErr w:type="spellStart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Trans_Date</w:t>
            </w:r>
            <w:proofErr w:type="spellEnd"/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and EFT Mapping Issue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AE4CB4" w:rsidRPr="00AE4CB4" w:rsidTr="00AE4CB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42840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DA DIS | 17.1 |Cloud Instances for both RMA and DA should communicate with each other via Amazon S3 bucket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4CB4" w:rsidRPr="00AE4CB4" w:rsidRDefault="00AE4CB4" w:rsidP="00AE4CB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4CB4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0C5184" w:rsidRPr="000C5184" w:rsidTr="000C518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5184" w:rsidRPr="000C5184" w:rsidRDefault="00BA7B9D" w:rsidP="000C518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06/30</w:t>
            </w:r>
            <w:r w:rsidR="000C5184" w:rsidRPr="000C5184">
              <w:rPr>
                <w:rFonts w:ascii="Verdana" w:hAnsi="Verdana"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5184" w:rsidRPr="000C5184" w:rsidRDefault="000C5184" w:rsidP="000C518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C5184">
              <w:rPr>
                <w:rFonts w:ascii="Verdana" w:hAnsi="Verdana"/>
                <w:bCs/>
                <w:color w:val="000000"/>
                <w:sz w:val="20"/>
                <w:szCs w:val="20"/>
              </w:rPr>
              <w:t>37276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C5184" w:rsidRPr="000C5184" w:rsidRDefault="000C5184" w:rsidP="000C518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C5184">
              <w:rPr>
                <w:rFonts w:ascii="Verdana" w:hAnsi="Verdana"/>
                <w:bCs/>
                <w:color w:val="000000"/>
                <w:sz w:val="20"/>
                <w:szCs w:val="20"/>
              </w:rPr>
              <w:t>DA DIS||17.1||is importing payments against reserves with a reopened status as supplemental payments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C5184" w:rsidRPr="000C5184" w:rsidRDefault="000C5184" w:rsidP="000C518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C518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4D2DFA" w:rsidRPr="004D2DFA" w:rsidTr="004D2DF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37268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|| POLICY || </w:t>
            </w:r>
            <w:proofErr w:type="spellStart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Next_Unique_Id</w:t>
            </w:r>
            <w:proofErr w:type="spellEnd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 not getting populated correctly for </w:t>
            </w:r>
            <w:proofErr w:type="spellStart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Claim_X_Policy</w:t>
            </w:r>
            <w:proofErr w:type="spellEnd"/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4D2DFA" w:rsidRPr="004D2DFA" w:rsidTr="004D2DF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36378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1C2CC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DA DIS ||</w:t>
            </w:r>
            <w:proofErr w:type="spellStart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XmlToolkit</w:t>
            </w:r>
            <w:proofErr w:type="spellEnd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|1</w:t>
            </w:r>
            <w:r w:rsidR="001C2CC9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  <w:r w:rsidR="001C2CC9">
              <w:rPr>
                <w:rFonts w:ascii="Verdana" w:hAnsi="Verdana"/>
                <w:bCs/>
                <w:color w:val="000000"/>
                <w:sz w:val="20"/>
                <w:szCs w:val="20"/>
              </w:rPr>
              <w:t>1</w:t>
            </w: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|| Changes to be done for entity lookup to have </w:t>
            </w:r>
            <w:proofErr w:type="spellStart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in it.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4D2DFA" w:rsidRPr="004D2DFA" w:rsidTr="004D2DF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C2CC9" w:rsidRDefault="001C2CC9" w:rsidP="001C2CC9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36171</w:t>
            </w:r>
          </w:p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1C2CC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DA DIS||1</w:t>
            </w:r>
            <w:r w:rsidR="001C2CC9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  <w:r w:rsidR="001C2CC9">
              <w:rPr>
                <w:rFonts w:ascii="Verdana" w:hAnsi="Verdana"/>
                <w:bCs/>
                <w:color w:val="000000"/>
                <w:sz w:val="20"/>
                <w:szCs w:val="20"/>
              </w:rPr>
              <w:t>1</w:t>
            </w: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||Need to check Look up/ Where clause of Entity table have </w:t>
            </w:r>
            <w:proofErr w:type="spellStart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=0 Condition or not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D2DFA" w:rsidRPr="004D2DFA" w:rsidRDefault="004D2DFA" w:rsidP="004D2DF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D2DFA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49465E" w:rsidRPr="0049465E" w:rsidTr="0049465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65E" w:rsidRPr="0049465E" w:rsidRDefault="0049465E" w:rsidP="00326EEA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03/31/201</w:t>
            </w:r>
            <w:r w:rsidR="00326EEA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34781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DA DIS||17.1|| Compatible testing with rmA17.1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rmA17.1</w:t>
            </w:r>
          </w:p>
        </w:tc>
      </w:tr>
      <w:tr w:rsidR="0049465E" w:rsidRPr="0049465E" w:rsidTr="0049465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65E" w:rsidRPr="0049465E" w:rsidRDefault="00865B4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34798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DA DIS||17.1|| DIS is allowing payments before date of event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49465E" w:rsidRPr="0049465E" w:rsidTr="0049465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65E" w:rsidRPr="0049465E" w:rsidRDefault="00865B4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35036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DA DIS||17.1||Remove old diaries on multiple execution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49465E" w:rsidRPr="0049465E" w:rsidTr="0049465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65E" w:rsidRPr="0049465E" w:rsidRDefault="00865B4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34760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DA DIS||XML toolkit || 16.2</w:t>
            </w:r>
            <w:proofErr w:type="gramStart"/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,16.3,17.1</w:t>
            </w:r>
            <w:proofErr w:type="gramEnd"/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|| Changes to be done for RM Express setup.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49465E" w:rsidRPr="0049465E" w:rsidTr="0049465E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65E" w:rsidRPr="0049465E" w:rsidRDefault="00865B4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35533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rmA 17.1 || To Compile EXE for S3 Changes|| All DA Modules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65E" w:rsidRPr="0049465E" w:rsidRDefault="0049465E" w:rsidP="0049465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49465E">
              <w:rPr>
                <w:rFonts w:ascii="Verdana" w:hAnsi="Verdana"/>
                <w:bCs/>
                <w:color w:val="000000"/>
                <w:sz w:val="20"/>
                <w:szCs w:val="20"/>
              </w:rPr>
              <w:t>New functionality has been integrated to work with S3 environment</w:t>
            </w:r>
          </w:p>
        </w:tc>
      </w:tr>
      <w:bookmarkEnd w:id="15"/>
      <w:bookmarkEnd w:id="16"/>
      <w:bookmarkEnd w:id="17"/>
      <w:tr w:rsidR="007C6357" w:rsidRPr="007C6357" w:rsidTr="007C6357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31255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DA DIS||16.4| |Increasing column length of '</w:t>
            </w:r>
            <w:proofErr w:type="spellStart"/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Login_Name</w:t>
            </w:r>
            <w:proofErr w:type="spellEnd"/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' from 16 to 20 or greater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7C6357" w:rsidRPr="007C6357" w:rsidTr="007C6357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29957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DA DIS|16.4 - Multi Currency Enhancement (</w:t>
            </w:r>
            <w:proofErr w:type="spellStart"/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Funds,Reserves</w:t>
            </w:r>
            <w:proofErr w:type="spellEnd"/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and Policy) and Template Upgradation from SAPBODS 4.2SP1 to 4.2SP7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C6357" w:rsidRPr="007C6357" w:rsidRDefault="007C6357" w:rsidP="007C635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C6357">
              <w:rPr>
                <w:rFonts w:ascii="Verdana" w:hAnsi="Verdana"/>
                <w:bCs/>
                <w:color w:val="000000"/>
                <w:sz w:val="20"/>
                <w:szCs w:val="20"/>
              </w:rPr>
              <w:t>Multi-currency enhancement has been implemented and Template upgraded to SAP BODS 4.2 SP7.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9"/>
      <w:footerReference w:type="default" r:id="rId10"/>
      <w:footerReference w:type="first" r:id="rId11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50E" w:rsidRDefault="005C050E">
      <w:r>
        <w:separator/>
      </w:r>
    </w:p>
    <w:p w:rsidR="005C050E" w:rsidRDefault="005C050E"/>
  </w:endnote>
  <w:endnote w:type="continuationSeparator" w:id="0">
    <w:p w:rsidR="005C050E" w:rsidRDefault="005C050E">
      <w:r>
        <w:continuationSeparator/>
      </w:r>
    </w:p>
    <w:p w:rsidR="005C050E" w:rsidRDefault="005C0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4D2DFA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C255AA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C255AA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AC467B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C255AA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C255AA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50E" w:rsidRDefault="005C050E">
      <w:r>
        <w:separator/>
      </w:r>
    </w:p>
    <w:p w:rsidR="005C050E" w:rsidRDefault="005C050E"/>
  </w:footnote>
  <w:footnote w:type="continuationSeparator" w:id="0">
    <w:p w:rsidR="005C050E" w:rsidRDefault="005C050E">
      <w:r>
        <w:continuationSeparator/>
      </w:r>
    </w:p>
    <w:p w:rsidR="005C050E" w:rsidRDefault="005C05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pt;height:24.9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B38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184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3E3A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2CC9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551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35E0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D4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2A62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61F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E7B7C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6EEA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1F07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5A5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4EAA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465E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2DFA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433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B99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9737C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50E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325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467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1D9C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357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175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5B4E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23B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467B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4CB4"/>
    <w:rsid w:val="00AE580B"/>
    <w:rsid w:val="00AE5B6A"/>
    <w:rsid w:val="00AE5E07"/>
    <w:rsid w:val="00AF0044"/>
    <w:rsid w:val="00AF1287"/>
    <w:rsid w:val="00AF1342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3D6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A7B9D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0C44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55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4C8E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2E81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3979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847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1F7A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67B0C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4B7A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2C3D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0F2F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8D0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2D0F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6A02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DISTemplate Release Notes</vt:lpstr>
    </vt:vector>
  </TitlesOfParts>
  <Company>CSC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DISTemplate Release Notes</dc:title>
  <dc:creator>JMERICLE</dc:creator>
  <cp:lastModifiedBy>Kapil Kumar Gupta</cp:lastModifiedBy>
  <cp:revision>49</cp:revision>
  <cp:lastPrinted>2017-10-30T06:46:00Z</cp:lastPrinted>
  <dcterms:created xsi:type="dcterms:W3CDTF">2015-12-31T06:50:00Z</dcterms:created>
  <dcterms:modified xsi:type="dcterms:W3CDTF">2017-10-30T06:46:00Z</dcterms:modified>
</cp:coreProperties>
</file>