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Leave Policy</w:t>
      </w:r>
    </w:p>
    <w:p>
      <w:r>
        <w:t>Employees receive 18 days of annual paid leave each calendar year.</w:t>
      </w:r>
    </w:p>
    <w:p>
      <w:pPr>
        <w:pStyle w:val="Heading1"/>
      </w:pPr>
      <w:r>
        <w:t>Remote Work</w:t>
      </w:r>
    </w:p>
    <w:p>
      <w:r>
        <w:t>Remote work requires written approval from a manager.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