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Northwind Labs Benefits Guide</w:t>
      </w:r>
    </w:p>
    <w:p>
      <w:pPr>
        <w:pStyle w:val="Heading1"/>
      </w:pPr>
      <w:r>
        <w:t>Health insurance</w:t>
      </w:r>
    </w:p>
    <w:p>
      <w:r>
        <w:t>Health, dental and vision coverage starts on the first day of the month after your start date. Northwind pays 90% of the premium for employees and 75% for dependants.</w:t>
      </w:r>
    </w:p>
    <w:p>
      <w:pPr>
        <w:pStyle w:val="Heading1"/>
      </w:pPr>
      <w:r>
        <w:t>Retirement plan</w:t>
      </w:r>
    </w:p>
    <w:p>
      <w:r>
        <w:t>Northwind matches retirement contributions up to 4% of salary. Matching contributions vest immediately.</w:t>
      </w:r>
    </w:p>
    <w:p>
      <w:pPr>
        <w:pStyle w:val="Heading1"/>
      </w:pPr>
      <w:r>
        <w:t>Learning budget</w:t>
      </w:r>
    </w:p>
    <w:p>
      <w:r>
        <w:t>Each employee has an annual learning budget of $1,500 for courses, books and conferences. Unused budget does not roll over.</w:t>
      </w:r>
    </w:p>
    <w:p>
      <w:pPr>
        <w:pStyle w:val="Heading1"/>
      </w:pPr>
      <w:r>
        <w:t>Home office</w:t>
      </w:r>
    </w:p>
    <w:p>
      <w:r>
        <w:t>New employees receive a one-time home office stipend of $500 for equipment such as a desk or chair.</w:t>
      </w:r>
    </w:p>
    <w:p>
      <w:pPr>
        <w:pStyle w:val="Heading1"/>
      </w:pPr>
      <w:r>
        <w:t>Wellness</w:t>
      </w:r>
    </w:p>
    <w:p>
      <w:r>
        <w:t>A wellness allowance of $50 per month can be used for gym memberships, fitness classes or mental health apps.</w:t>
      </w:r>
    </w:p>
    <w:p>
      <w:pPr>
        <w:pStyle w:val="Heading1"/>
      </w:pPr>
      <w:r>
        <w:t>Employee Assistance Programme</w:t>
      </w:r>
    </w:p>
    <w:p>
      <w:r>
        <w:t>The Employee Assistance Programme offers free, confidential counselling 24 hours a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