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03366"/>
          <w:sz w:val="48"/>
        </w:rPr>
        <w:t>UsisAIn Architecture Assessment &amp; Enhancements</w:t>
      </w:r>
    </w:p>
    <w:p>
      <w:pPr>
        <w:spacing w:after="480"/>
        <w:jc w:val="center"/>
      </w:pPr>
      <w:r>
        <w:rPr>
          <w:color w:val="4682B4"/>
          <w:sz w:val="28"/>
        </w:rPr>
        <w:t>A Roadmap for Reliability, Performance, and Production Readiness</w:t>
      </w:r>
    </w:p>
    <w:p>
      <w:pPr>
        <w:spacing w:after="240"/>
      </w:pPr>
    </w:p>
    <w:p>
      <w:pPr>
        <w:pStyle w:val="Heading1"/>
        <w:spacing w:before="240" w:after="120"/>
      </w:pPr>
      <w:r>
        <w:rPr>
          <w:rFonts w:ascii="Calibri" w:hAnsi="Calibri"/>
          <w:b/>
          <w:color w:val="003366"/>
          <w:sz w:val="36"/>
        </w:rPr>
        <w:t>1. Executive Summary</w:t>
      </w:r>
    </w:p>
    <w:p>
      <w:r>
        <w:t>UsisAIn is a brilliant, local-first concept designed for scam and misinformation verification. It stands out due to its multi-step educational structure and its support for regional Philippine languages. However, to transition from a prototype/hackathon project to a robust, scalable, and production-ready application, several critical structural modifications are required. This document details our assessment of the existing codebase and proposes structured enhancements across system performance, fact-checking accuracy, and security.</w:t>
      </w:r>
    </w:p>
    <w:tbl>
      <w:tblPr>
        <w:tblW w:type="auto" w:w="0"/>
        <w:jc w:val="center"/>
        <w:tblLook w:firstColumn="1" w:firstRow="1" w:lastColumn="0" w:lastRow="0" w:noHBand="0" w:noVBand="1" w:val="04A0"/>
      </w:tblPr>
      <w:tblGrid>
        <w:gridCol w:w="9360"/>
      </w:tblGrid>
      <w:tr>
        <w:tc>
          <w:tcPr>
            <w:tcW w:type="dxa" w:w="9360"/>
            <w:shd w:fill="F2F5F8"/>
            <w:tcBorders>
              <w:left w:val="single" w:sz="24" w:space="0" w:color="003366"/>
              <w:top w:val="none"/>
              <w:right w:val="none"/>
              <w:bottom w:val="none"/>
            </w:tcBorders>
          </w:tcPr>
          <w:p>
            <w:pPr>
              <w:spacing w:before="120" w:after="120"/>
            </w:pPr>
            <w:r>
              <w:rPr>
                <w:b/>
                <w:color w:val="003366"/>
              </w:rPr>
              <w:t xml:space="preserve">Key Finding: </w:t>
            </w:r>
            <w:r>
              <w:rPr>
                <w:i/>
              </w:rPr>
              <w:t>While local LLMs provide private and offline reasoning, they can cause significant CPU/GPU contention when serving multiple clients concurrently. Developing a hybrid cloud/local approach and task queuing is essential for stability.</w:t>
            </w:r>
          </w:p>
        </w:tc>
      </w:tr>
    </w:tbl>
    <w:p>
      <w:pPr>
        <w:pStyle w:val="Heading1"/>
        <w:spacing w:before="240" w:after="120"/>
      </w:pPr>
      <w:r>
        <w:rPr>
          <w:rFonts w:ascii="Calibri" w:hAnsi="Calibri"/>
          <w:b/>
          <w:color w:val="003366"/>
          <w:sz w:val="36"/>
        </w:rPr>
        <w:t>2. Architectural Bottlenecks &amp; Solutions</w:t>
      </w:r>
    </w:p>
    <w:p>
      <w:pPr>
        <w:pStyle w:val="Heading2"/>
        <w:spacing w:before="240" w:after="120"/>
      </w:pPr>
      <w:r>
        <w:rPr>
          <w:rFonts w:ascii="Calibri" w:hAnsi="Calibri"/>
          <w:b/>
          <w:color w:val="4682B4"/>
          <w:sz w:val="28"/>
        </w:rPr>
        <w:t>2.1 Concurrency &amp; Task Execution</w:t>
      </w:r>
    </w:p>
    <w:p>
      <w:r>
        <w:t>Currently, the pipeline runs synchronously within the request-response cycle (or via native asyncio tasks in the main process). If multiple users request scans simultaneously, CPU/GPU memory limits can cause Ollama or the FastAPI worker threads to hang or crash.</w:t>
      </w:r>
    </w:p>
    <w:p>
      <w:r>
        <w:rPr>
          <w:b/>
        </w:rPr>
        <w:t xml:space="preserve">Proposed Enhancement: </w:t>
      </w:r>
      <w:r>
        <w:t>Introduce a background worker pattern (e.g., Celery, RQ, or a simple in-memory queue using FastAPI BackgroundTasks) for handling the analysis. Instead of waiting for a single SSE request to finish, return a job token immediately and let the background worker stream results or write to the SQLite database.</w:t>
      </w:r>
    </w:p>
    <w:p>
      <w:pPr>
        <w:pStyle w:val="Heading2"/>
        <w:spacing w:before="240" w:after="120"/>
      </w:pPr>
      <w:r>
        <w:rPr>
          <w:rFonts w:ascii="Calibri" w:hAnsi="Calibri"/>
          <w:b/>
          <w:color w:val="4682B4"/>
          <w:sz w:val="28"/>
        </w:rPr>
        <w:t>2.2 Visual Forensic Analysis (Step 2)</w:t>
      </w:r>
    </w:p>
    <w:p>
      <w:r>
        <w:t>Step 2 uses Error Level Analysis (ELA) and Frequency Noise checks. These heuristic algorithms are highly sensitive to image scaling, format conversion, and recompression, which leads to high false-positive rates for edited or AI content.</w:t>
      </w:r>
    </w:p>
    <w:p>
      <w:r>
        <w:rPr>
          <w:b/>
        </w:rPr>
        <w:t xml:space="preserve">Proposed Enhancement: </w:t>
      </w:r>
      <w:r>
        <w:t>Integrate neural visual deepfake/manipulation classifiers (like ResNet50 or ConvNeXt fine-tuned on FaceForensics++) and leverage the Multimodal LLM to explicitly compare the upload against the uploaded 'Reference Documents' (currently, reference images are stored in the SQLite database but are never actually used in the Step 2 tool logic). Use perceptual hashing (pHash) or SSIM for rapid identity matching.</w:t>
      </w:r>
    </w:p>
    <w:p>
      <w:pPr>
        <w:pStyle w:val="Heading2"/>
        <w:spacing w:before="240" w:after="120"/>
      </w:pPr>
      <w:r>
        <w:rPr>
          <w:rFonts w:ascii="Calibri" w:hAnsi="Calibri"/>
          <w:b/>
          <w:color w:val="4682B4"/>
          <w:sz w:val="28"/>
        </w:rPr>
        <w:t>2.3 Vector Database &amp; Search Scalability (Step 3)</w:t>
      </w:r>
    </w:p>
    <w:p>
      <w:r>
        <w:t>Step 3 performs RAG lookup using a simple JSON file ('store.json'). As the database grows to thousands of scans, JSON parsing on every request becomes slow and inefficient. Furthermore, Google CSE has a strict free limit of 100 searches per day, which can cause key steps to fail once exceeded.</w:t>
      </w:r>
    </w:p>
    <w:p>
      <w:r>
        <w:rPr>
          <w:b/>
        </w:rPr>
        <w:t xml:space="preserve">Proposed Enhancement: </w:t>
      </w:r>
      <w:r>
        <w:t>Migrate the JSON-based vector retriever to a production-grade lightweight local vector database (like ChromaDB, Qdrant, or FAISS) paired with a local embedding model. For web search, implement search result caching in SQLite and add DuckDuckGo/SearXNG as dynamic fallback search providers to prevent API exhaustion.</w:t>
      </w:r>
    </w:p>
    <w:p>
      <w:pPr>
        <w:pStyle w:val="Heading2"/>
        <w:spacing w:before="240" w:after="120"/>
      </w:pPr>
      <w:r>
        <w:rPr>
          <w:rFonts w:ascii="Calibri" w:hAnsi="Calibri"/>
          <w:b/>
          <w:color w:val="4682B4"/>
          <w:sz w:val="28"/>
        </w:rPr>
        <w:t>2.4 Pipeline Resilience &amp; Decoupling</w:t>
      </w:r>
    </w:p>
    <w:p>
      <w:r>
        <w:t>If Step 1 or 2 throws an error, the pipeline immediately aborts and returns an error for the remaining steps. However, if image analysis fails, the text fact-check (Step 3) or educational resources (Step 5) could still provide valuable insights.</w:t>
      </w:r>
    </w:p>
    <w:p>
      <w:r>
        <w:rPr>
          <w:b/>
        </w:rPr>
        <w:t xml:space="preserve">Proposed Enhancement: </w:t>
      </w:r>
      <w:r>
        <w:t>Allow steps to fail gracefully and run independently. Use a structured fallback result (e.g., 'visual analysis inconclusive') rather than breaking the entire pipeline execution chain.</w:t>
      </w:r>
    </w:p>
    <w:p>
      <w:pPr>
        <w:pStyle w:val="Heading1"/>
        <w:spacing w:before="240" w:after="120"/>
      </w:pPr>
      <w:r>
        <w:rPr>
          <w:rFonts w:ascii="Calibri" w:hAnsi="Calibri"/>
          <w:b/>
          <w:color w:val="003366"/>
          <w:sz w:val="36"/>
        </w:rPr>
        <w:t>3. Component-by-Component Upgrade Roadmap</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03366"/>
          </w:tcPr>
          <w:p>
            <w:r>
              <w:rPr>
                <w:b/>
                <w:color w:val="FFFFFF"/>
              </w:rPr>
              <w:t>Component</w:t>
            </w:r>
          </w:p>
        </w:tc>
        <w:tc>
          <w:tcPr>
            <w:tcW w:type="dxa" w:w="3120"/>
            <w:shd w:fill="003366"/>
          </w:tcPr>
          <w:p>
            <w:r>
              <w:rPr>
                <w:b/>
                <w:color w:val="FFFFFF"/>
              </w:rPr>
              <w:t>Current State</w:t>
            </w:r>
          </w:p>
        </w:tc>
        <w:tc>
          <w:tcPr>
            <w:tcW w:type="dxa" w:w="3120"/>
            <w:shd w:fill="003366"/>
          </w:tcPr>
          <w:p>
            <w:r>
              <w:rPr>
                <w:b/>
                <w:color w:val="FFFFFF"/>
              </w:rPr>
              <w:t>Target State (Reliable)</w:t>
            </w:r>
          </w:p>
        </w:tc>
      </w:tr>
      <w:tr>
        <w:tc>
          <w:tcPr>
            <w:tcW w:type="dxa" w:w="3120"/>
          </w:tcPr>
          <w:p>
            <w:r>
              <w:t>Orchestration</w:t>
            </w:r>
          </w:p>
        </w:tc>
        <w:tc>
          <w:tcPr>
            <w:tcW w:type="dxa" w:w="3120"/>
          </w:tcPr>
          <w:p>
            <w:r>
              <w:t>In-process execution; potential threads blocking.</w:t>
            </w:r>
          </w:p>
        </w:tc>
        <w:tc>
          <w:tcPr>
            <w:tcW w:type="dxa" w:w="3120"/>
          </w:tcPr>
          <w:p>
            <w:r>
              <w:t>Asynchronous celery task queue; SSE notifications from job ID.</w:t>
            </w:r>
          </w:p>
        </w:tc>
      </w:tr>
      <w:tr>
        <w:tc>
          <w:tcPr>
            <w:tcW w:type="dxa" w:w="3120"/>
            <w:shd w:fill="F2F5F8"/>
          </w:tcPr>
          <w:p>
            <w:r>
              <w:t>Visual Forensics</w:t>
            </w:r>
          </w:p>
        </w:tc>
        <w:tc>
          <w:tcPr>
            <w:tcW w:type="dxa" w:w="3120"/>
            <w:shd w:fill="F2F5F8"/>
          </w:tcPr>
          <w:p>
            <w:r>
              <w:t>Basic heuristics (ELA, Frequency ratios).</w:t>
            </w:r>
          </w:p>
        </w:tc>
        <w:tc>
          <w:tcPr>
            <w:tcW w:type="dxa" w:w="3120"/>
            <w:shd w:fill="F2F5F8"/>
          </w:tcPr>
          <w:p>
            <w:r>
              <w:t>Hybrid neural classifiers + pHash comparison against Reference Docs.</w:t>
            </w:r>
          </w:p>
        </w:tc>
      </w:tr>
      <w:tr>
        <w:tc>
          <w:tcPr>
            <w:tcW w:type="dxa" w:w="3120"/>
          </w:tcPr>
          <w:p>
            <w:r>
              <w:t>Vector Database</w:t>
            </w:r>
          </w:p>
        </w:tc>
        <w:tc>
          <w:tcPr>
            <w:tcW w:type="dxa" w:w="3120"/>
          </w:tcPr>
          <w:p>
            <w:r>
              <w:t>Naive in-memory JSON file ('store.json').</w:t>
            </w:r>
          </w:p>
        </w:tc>
        <w:tc>
          <w:tcPr>
            <w:tcW w:type="dxa" w:w="3120"/>
          </w:tcPr>
          <w:p>
            <w:r>
              <w:t>ChromaDB or FAISS local container; cached local embeddings.</w:t>
            </w:r>
          </w:p>
        </w:tc>
      </w:tr>
      <w:tr>
        <w:tc>
          <w:tcPr>
            <w:tcW w:type="dxa" w:w="3120"/>
            <w:shd w:fill="F2F5F8"/>
          </w:tcPr>
          <w:p>
            <w:r>
              <w:t>Search Providers</w:t>
            </w:r>
          </w:p>
        </w:tc>
        <w:tc>
          <w:tcPr>
            <w:tcW w:type="dxa" w:w="3120"/>
            <w:shd w:fill="F2F5F8"/>
          </w:tcPr>
          <w:p>
            <w:r>
              <w:t>Google Custom Search JSON API (Limited).</w:t>
            </w:r>
          </w:p>
        </w:tc>
        <w:tc>
          <w:tcPr>
            <w:tcW w:type="dxa" w:w="3120"/>
            <w:shd w:fill="F2F5F8"/>
          </w:tcPr>
          <w:p>
            <w:r>
              <w:t>Search caching + DuckDuckGo fallback parser.</w:t>
            </w:r>
          </w:p>
        </w:tc>
      </w:tr>
      <w:tr>
        <w:tc>
          <w:tcPr>
            <w:tcW w:type="dxa" w:w="3120"/>
          </w:tcPr>
          <w:p>
            <w:r>
              <w:t>Security/Auth</w:t>
            </w:r>
          </w:p>
        </w:tc>
        <w:tc>
          <w:tcPr>
            <w:tcW w:type="dxa" w:w="3120"/>
          </w:tcPr>
          <w:p>
            <w:r>
              <w:t>No authentication for API or extension endpoints.</w:t>
            </w:r>
          </w:p>
        </w:tc>
        <w:tc>
          <w:tcPr>
            <w:tcW w:type="dxa" w:w="3120"/>
          </w:tcPr>
          <w:p>
            <w:r>
              <w:t>API keys / JWT token validation; rate-limiting middleware.</w:t>
            </w:r>
          </w:p>
        </w:tc>
      </w:tr>
    </w:tbl>
    <w:p>
      <w:pPr>
        <w:spacing w:before="240"/>
      </w:pPr>
    </w:p>
    <w:p>
      <w:pPr>
        <w:pStyle w:val="Heading1"/>
        <w:spacing w:before="240" w:after="120"/>
      </w:pPr>
      <w:r>
        <w:rPr>
          <w:rFonts w:ascii="Calibri" w:hAnsi="Calibri"/>
          <w:b/>
          <w:color w:val="003366"/>
          <w:sz w:val="36"/>
        </w:rPr>
        <w:t>4. Step-by-Step Implementation Approach</w:t>
      </w:r>
    </w:p>
    <w:p>
      <w:r>
        <w:t>To implement these changes without disrupting the existing codebase, we recommend the following phases:</w:t>
      </w:r>
    </w:p>
    <w:p>
      <w:pPr>
        <w:pStyle w:val="ListBullet"/>
      </w:pPr>
      <w:r>
        <w:rPr>
          <w:b/>
        </w:rPr>
        <w:t xml:space="preserve">Phase 1: Database &amp; RAG Migration (High Priority). </w:t>
      </w:r>
      <w:r>
        <w:t>Replace 'store.json' with ChromaDB and implement local query embedding to search past claims accurately.</w:t>
      </w:r>
    </w:p>
    <w:p>
      <w:pPr>
        <w:pStyle w:val="ListBullet"/>
      </w:pPr>
      <w:r>
        <w:rPr>
          <w:b/>
        </w:rPr>
        <w:t xml:space="preserve">Phase 2: Reference Document Matcher (High Priority). </w:t>
      </w:r>
      <w:r>
        <w:t>Connect the database's reference_documents table to Step 2. Use opencv-python or perceptual hashes to check if uploaded images match verified IDs or receipts.</w:t>
      </w:r>
    </w:p>
    <w:p>
      <w:pPr>
        <w:pStyle w:val="ListBullet"/>
      </w:pPr>
      <w:r>
        <w:rPr>
          <w:b/>
        </w:rPr>
        <w:t xml:space="preserve">Phase 3: Fallback Search &amp; Cache. </w:t>
      </w:r>
      <w:r>
        <w:t>Implement a SQLite query-cache table to cache google search results for 24-48 hours. Integrate DuckDuckGo web scraping fallback.</w:t>
      </w:r>
    </w:p>
    <w:p>
      <w:pPr>
        <w:pStyle w:val="ListBullet"/>
      </w:pPr>
      <w:r>
        <w:rPr>
          <w:b/>
        </w:rPr>
        <w:t xml:space="preserve">Phase 4: Async Processing. </w:t>
      </w:r>
      <w:r>
        <w:t>Decouple uvicorn request threads from the analysis pipeline using a task queue.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