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ab/>
        <w:tab/>
        <w:tab/>
        <w:tab/>
        <w:t xml:space="preserve">         </w:t>
      </w:r>
      <w:r w:rsidDel="00000000" w:rsidR="00000000" w:rsidRPr="00000000">
        <w:rPr>
          <w:b w:val="1"/>
          <w:sz w:val="28"/>
          <w:szCs w:val="28"/>
          <w:rtl w:val="0"/>
        </w:rPr>
        <w:t xml:space="preserve">Compte Rendu</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Résumé:</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ind w:firstLine="720"/>
        <w:rPr>
          <w:sz w:val="20"/>
          <w:szCs w:val="20"/>
        </w:rPr>
      </w:pPr>
      <w:r w:rsidDel="00000000" w:rsidR="00000000" w:rsidRPr="00000000">
        <w:rPr>
          <w:sz w:val="20"/>
          <w:szCs w:val="20"/>
          <w:rtl w:val="0"/>
        </w:rPr>
        <w:t xml:space="preserve">Au cours de la journée, j'ai consacré du temps à l'étude approfondie du sujet de la SAE afin d'en acquérir une compréhension approfondie, en vue de commencer à travailler sur la conception de la base de données. Nous avons initié notre réflexion en identifiant les tables qui constitueraient notre base de données. Par la suite, nous avons opté pour la modélisation d'un schéma entité-association à l'aide d'un logiciel dédié.</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ind w:firstLine="720"/>
        <w:rPr>
          <w:sz w:val="20"/>
          <w:szCs w:val="20"/>
        </w:rPr>
      </w:pPr>
      <w:r w:rsidDel="00000000" w:rsidR="00000000" w:rsidRPr="00000000">
        <w:rPr>
          <w:sz w:val="20"/>
          <w:szCs w:val="20"/>
          <w:rtl w:val="0"/>
        </w:rPr>
        <w:t xml:space="preserve">Notre modèle englobe plusieurs entités, notamment personne, enseignant, chef de département, secrétaire, directeur, login, département, etc. Bien que la modélisation ne soit pas encore définitive, elle représente une étape cruciale dans notre progression vers la construction de la base de données. Au cours de ce processus, nous avons engagé des débats approfondis sur divers points, soulignant le manque de clarté que nous percevons dans le sujet.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