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Compte Rendu 05/12/2023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Base de Données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 focus particulier a été mis sur la modélisation de la base de données en accord avec les exigences fonctionnelles. Les tables principales nécessaires à la gestion des enseignants, des départements, des formations et des catégories d'agents ont été soigneusement définies, avec une structuration reflétant les relations entre les différentes entités. Les clés primaires et les contraintes d'intégrité ont été rigoureusement intégrées pour garantir la cohérence des données.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Diagramme Entité-Association (ERD)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parallèle avec la conception de la base de données, on a élaboré un diagramme entité-association. Il détaille avec précision les entités telles que les enseignants, les départements, les formations, les catégories d'agents, ainsi que leurs interactions fonctionnelles.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Étapes à Venir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prochaine étape consistera à affiner davantage la structure de la base de données en intégrant les éléments manquants et en peaufinant les relations pour assurer une cohérence et une précision maximales.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