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ATICI MICHAEL </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Maison , 08/01/2024 - 9h</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rtl w:val="0"/>
              </w:rPr>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Maquette Figma</w:t>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Maquette Figma</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Nous avons continué la maquette pour que ce soit fini,  j’ai rajouté plusieurs pages pour les enseignants et leur renseignement, j’ai fait une autre page où on voit comment ajouter un enseignant.</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Maquette bientôt fini</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 10/01/2024</w:t>
      </w:r>
      <w:r w:rsidDel="00000000" w:rsidR="00000000" w:rsidRPr="00000000">
        <w:rPr>
          <w:rtl w:val="0"/>
        </w:rPr>
      </w:r>
    </w:p>
    <w:p w:rsidR="00000000" w:rsidDel="00000000" w:rsidP="00000000" w:rsidRDefault="00000000" w:rsidRPr="00000000" w14:paraId="0000001F">
      <w:pPr>
        <w:spacing w:line="259" w:lineRule="auto"/>
        <w:jc w:val="left"/>
        <w:rPr/>
      </w:pPr>
      <w:r w:rsidDel="00000000" w:rsidR="00000000" w:rsidRPr="00000000">
        <w:rPr>
          <w:rtl w:val="0"/>
        </w:rPr>
      </w:r>
    </w:p>
    <w:p w:rsidR="00000000" w:rsidDel="00000000" w:rsidP="00000000" w:rsidRDefault="00000000" w:rsidRPr="00000000" w14:paraId="00000020">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2CIoqSY8jlyxwX1eRWgwUHWFuA==">CgMxLjA4AHIhMWd6YVdYbF8xZzZpZlpEbTVLVmt3eVJaa1lPek1tajNw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