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R305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Ellouze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Modèle E/A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 sur la validation du modèle entités associations, validation par M. Ellouze, finition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On a discuté de la modification du modèle entités associations avec M. Ellouze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Amélioration du diapo de l’oral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Discussions sur la répartition des tâches lors de l’oral, discussion sur le diaporama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Après s’être répartis les tâches et le cahier des charges, j’ai amélioré le diaporama sur ma partie et mon oral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803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833"/>
        <w:gridCol w:w="1265"/>
        <w:gridCol w:w="1262"/>
        <w:gridCol w:w="4679"/>
        <w:tblGridChange w:id="0">
          <w:tblGrid>
            <w:gridCol w:w="833"/>
            <w:gridCol w:w="1265"/>
            <w:gridCol w:w="1262"/>
            <w:gridCol w:w="4679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améliorera notre diaporama chez nous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12/12/2023 - 8h30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Ma0bXeHa4NWBhiE81pUuA73aA==">CgMxLjA4AHIhMWxVTzNkYUlHX3BoR0lBMXdsR2V1WW5mQXRrbmFZM3F0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