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522.10937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LADDADA Anis</w:t>
            </w:r>
          </w:p>
        </w:tc>
      </w:tr>
      <w:tr>
        <w:trPr>
          <w:cantSplit w:val="0"/>
          <w:trHeight w:val="522.10937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R305</w:t>
            </w:r>
          </w:p>
        </w:tc>
      </w:tr>
      <w:tr>
        <w:trPr>
          <w:cantSplit w:val="0"/>
          <w:trHeight w:val="539.5003636363637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39.5003636363637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M. HEBERT</w:t>
            </w:r>
          </w:p>
        </w:tc>
      </w:tr>
      <w:tr>
        <w:trPr>
          <w:cantSplit w:val="0"/>
          <w:trHeight w:val="539.5003636363637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10.3381818181819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TP RSA, Diaporama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DIAPORAMA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avons entamé la partie finale de la diapo, personnellement  je me suis chargé des 4 premières diapo  (environnement du projet ) 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Nous somme enfin prêt pour la présentation du cahier des charges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TP RSA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Présentation du TP et de l’objectif de celui-ci par David Hebert.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J’ia fait le TP RSA de M. Hebert 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vD3HVXQML0unUHhfv7XyGvngWQ==">CgMxLjA4AHIhMXB0Q01qUTRTR1ZOeUVLeFhNMWR3dWtlcm9uM0dIS3Az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