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522.109375"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Manseur Nassim</w:t>
            </w:r>
          </w:p>
        </w:tc>
      </w:tr>
      <w:tr>
        <w:trPr>
          <w:cantSplit w:val="0"/>
          <w:trHeight w:val="522.109375"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R305</w:t>
            </w:r>
          </w:p>
        </w:tc>
      </w:tr>
      <w:tr>
        <w:trPr>
          <w:cantSplit w:val="0"/>
          <w:trHeight w:val="539.5003636363637"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39.5003636363637"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M. HEBERT</w:t>
            </w:r>
          </w:p>
        </w:tc>
      </w:tr>
      <w:tr>
        <w:trPr>
          <w:cantSplit w:val="0"/>
          <w:trHeight w:val="539.5003636363637"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10.3381818181819"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TP RSA, Diaporama</w:t>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DIAPORAMA</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Nous avons peaufiner et compléter notre diaporama pour la présentation de cette après midi et nous nous somme mis d’accord sur certains point concernant l’oral(ordre de passage, plan, style de la présentation)” Personnellement j’ai réalisé les 3 premier diapos le logo outsiders et le diapo concernant ma partie(Exigences fonctionnelles).</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Nous somme fin prêt pour la présentation du cahier des charges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4"/>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F">
            <w:pPr>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0">
            <w:pPr>
              <w:jc w:val="left"/>
              <w:rPr>
                <w:b w:val="1"/>
                <w:sz w:val="22"/>
                <w:szCs w:val="22"/>
              </w:rPr>
            </w:pPr>
            <w:r w:rsidDel="00000000" w:rsidR="00000000" w:rsidRPr="00000000">
              <w:rPr>
                <w:b w:val="1"/>
                <w:sz w:val="28"/>
                <w:szCs w:val="28"/>
                <w:rtl w:val="0"/>
              </w:rPr>
              <w:t xml:space="preserve">TP RSA</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1">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2">
            <w:pPr>
              <w:jc w:val="left"/>
              <w:rPr>
                <w:b w:val="1"/>
                <w:sz w:val="22"/>
                <w:szCs w:val="22"/>
              </w:rPr>
            </w:pPr>
            <w:r w:rsidDel="00000000" w:rsidR="00000000" w:rsidRPr="00000000">
              <w:rPr>
                <w:b w:val="1"/>
                <w:sz w:val="22"/>
                <w:szCs w:val="22"/>
                <w:rtl w:val="0"/>
              </w:rPr>
              <w:t xml:space="preserve">Présentation du TP et de l’objectif de celui-ci par David Hebert.</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3">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4">
            <w:pPr>
              <w:jc w:val="left"/>
              <w:rPr>
                <w:b w:val="1"/>
                <w:sz w:val="22"/>
                <w:szCs w:val="22"/>
              </w:rPr>
            </w:pPr>
            <w:r w:rsidDel="00000000" w:rsidR="00000000" w:rsidRPr="00000000">
              <w:rPr>
                <w:b w:val="1"/>
                <w:sz w:val="22"/>
                <w:szCs w:val="22"/>
                <w:rtl w:val="0"/>
              </w:rPr>
              <w:t xml:space="preserve">Présentation du TP et de l’objectif de celui-ci par David Hebert.</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12/12/2023</w:t>
      </w:r>
    </w:p>
    <w:p w:rsidR="00000000" w:rsidDel="00000000" w:rsidP="00000000" w:rsidRDefault="00000000" w:rsidRPr="00000000" w14:paraId="00000029">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9Kl1lXLJ/MaBXONsUBRBCdrGQ==">CgMxLjA4AHIhMUtRWUdlaThEbmJ5YmpWU0hQMF9KS085ZzlFRi1TazFO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