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Q203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Diaporama, modèle entité association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Préparation à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été les derniers à passer à l’oral donc on a voulu modifier certaines choses du modèle comme des ajouts d’entités et des modifications de variables et des cardinalités.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et diaporama terminés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sommes passés à l’oral pour présenter notre modèle entité association et le schéma relationnel, c’était plutôt particulier parce que ce n’était pas un oral comme le cahier des charges, on a en même temps corrigé nos modèles et ça m’a permis de comprendre quelques notions comme le double héritage.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terminé 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19/12/2022</w:t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InBQBzbWhPKeWiBDmxzjvoJYIg==">CgMxLjA4AHIhMTFsTGlxMGQ4THRpMUZqbVQxSVNya3I2WTYtNkpuaWdS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