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rtl w:val="0"/>
              </w:rPr>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17/01/2024 - 20h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Graphique</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ajouté une page graphique où l’on peut voir le nombre d’enseignant qui ont des catégories d’agents , c’est un graphique en type “pie” et j’ai dû ajouter un nouveau controller et une nouvelle vue ainsi que des méthodes dans le model pour récupérer dans la base de donnée les catégories d’agents et un “count” qui récupère le nombre d’enseignant qui ont une certaine catégorie.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18/01/2024</w:t>
      </w: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p w:rsidR="00000000" w:rsidDel="00000000" w:rsidP="00000000" w:rsidRDefault="00000000" w:rsidRPr="00000000" w14:paraId="00000020">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fZSxYgA2GXC9nVvanl/dTGmtRA==">CgMxLjA4AHIhMVllSmFnYnRZMElwTEtJd1Q0UTNUUlh5c0JacUY1cnVj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