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Manseur Nassim</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N 107 / 21/12/2023 /  13h30</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M. Butelle, M. Finta</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Contrôle VLSM</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J’ai, comme mes autres camarades, fait le contrôle sur VLSM qui se décompense en 2 parties , un QCM et des exercices façon TD.</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Evaluation SAE réseau</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F">
            <w:pPr>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0">
            <w:pPr>
              <w:jc w:val="left"/>
              <w:rPr>
                <w:b w:val="1"/>
                <w:sz w:val="22"/>
                <w:szCs w:val="22"/>
              </w:rPr>
            </w:pPr>
            <w:r w:rsidDel="00000000" w:rsidR="00000000" w:rsidRPr="00000000">
              <w:rPr>
                <w:b w:val="1"/>
                <w:sz w:val="28"/>
                <w:szCs w:val="28"/>
                <w:rtl w:val="0"/>
              </w:rPr>
              <w:t xml:space="preserve">Sondage de M. Finta</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1">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2">
            <w:pPr>
              <w:jc w:val="left"/>
              <w:rPr>
                <w:b w:val="1"/>
                <w:sz w:val="22"/>
                <w:szCs w:val="22"/>
              </w:rPr>
            </w:pPr>
            <w:r w:rsidDel="00000000" w:rsidR="00000000" w:rsidRPr="00000000">
              <w:rPr>
                <w:b w:val="1"/>
                <w:sz w:val="22"/>
                <w:szCs w:val="22"/>
                <w:rtl w:val="0"/>
              </w:rPr>
              <w:t xml:space="preserve">Après le contrôle on nous a donné une feuille de sondage qui nous demander de décrire dans quelle partie du projet avant de travailler et les étapes intermédiaires de chaque partis avec notre taux de participation dans chacune des tâches ou l’on a été présent.</w:t>
            </w:r>
          </w:p>
        </w:tc>
      </w:tr>
      <w:tr>
        <w:trPr>
          <w:cantSplit w:val="0"/>
          <w:trHeight w:val="360" w:hRule="atLeast"/>
          <w:tblHeader w:val="0"/>
        </w:trPr>
        <w:tc>
          <w:tcPr>
            <w:tcBorders>
              <w:right w:color="4472c4" w:space="0" w:sz="4" w:val="single"/>
            </w:tcBorders>
            <w:shd w:fill="acb9ca" w:val="clear"/>
            <w:vAlign w:val="center"/>
          </w:tcPr>
          <w:p w:rsidR="00000000" w:rsidDel="00000000" w:rsidP="00000000" w:rsidRDefault="00000000" w:rsidRPr="00000000" w14:paraId="00000023">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4">
            <w:pPr>
              <w:jc w:val="left"/>
              <w:rPr>
                <w:b w:val="1"/>
                <w:sz w:val="22"/>
                <w:szCs w:val="22"/>
              </w:rPr>
            </w:pPr>
            <w:r w:rsidDel="00000000" w:rsidR="00000000" w:rsidRPr="00000000">
              <w:rPr>
                <w:b w:val="1"/>
                <w:sz w:val="22"/>
                <w:szCs w:val="22"/>
                <w:rtl w:val="0"/>
              </w:rPr>
              <w:t xml:space="preserve">Sondage sur notre activité au sein de notre groupe de SAE</w:t>
            </w:r>
          </w:p>
        </w:tc>
      </w:tr>
    </w:tbl>
    <w:p w:rsidR="00000000" w:rsidDel="00000000" w:rsidP="00000000" w:rsidRDefault="00000000" w:rsidRPr="00000000" w14:paraId="00000025">
      <w:pPr>
        <w:rPr>
          <w:sz w:val="10"/>
          <w:szCs w:val="1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22/12/2023 - 13h30</w:t>
      </w: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JAx4y1rmiVxhq3TDuy9hku0EBQ==">CgMxLjA4AHIhMXpyTkt6aDZGTTlORnJhUDRvUTBNWXRQcVNLdjZpSWhE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