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S306, Amphi 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03/05/2024 de 13h45-17h45 </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Nassim Manseur, Antoine Da Costa</w:t>
            </w: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Mme. Zargayouna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 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rPr>
      </w:pPr>
      <w:r w:rsidDel="00000000" w:rsidR="00000000" w:rsidRPr="00000000">
        <w:rPr>
          <w:rFonts w:ascii="Calibri" w:cs="Calibri" w:eastAsia="Calibri" w:hAnsi="Calibri"/>
          <w:b w:val="1"/>
          <w:color w:val="cc0000"/>
          <w:sz w:val="36"/>
          <w:szCs w:val="36"/>
          <w:rtl w:val="0"/>
        </w:rPr>
        <w:t xml:space="preserve">Résumé de la séance</w:t>
      </w:r>
      <w:r w:rsidDel="00000000" w:rsidR="00000000" w:rsidRPr="00000000">
        <w:rPr>
          <w:rtl w:val="0"/>
        </w:rPr>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Durant cette séance, nous avons créé chacun notre avatar pour la réalisation de la BD. J’ai aussi créé la mascotte pour la BD et réfléchis avec le reste de l’équipe pour l’histoire de la BD.</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Réflexion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Création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