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Dong Sophie</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S301</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06/05/2024 de 9h-13h</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 Nassim Manseur, Arnaud Aublet, 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Kamel Bouchefra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Antoine Da Costa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Résumé de la séance</w:t>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Aujourd’hui, j’ai finalisé la 1ère et 2ème partie de la BD et je me suis ensuite chargée de commencer une première version de Gantt Project. Pendant ce temps, Arnaud s’est chargé de créer un espace de travail Trello avec les tâches à faire, en cours et fini et s’est également occupé de remplir la matrice RACI. Du côté de Nassim et Younes, il a commencé les vérifications du site de Webmicaa (groupe Saphir) afin de mettre en place l’environnement de développement.</w:t>
      </w:r>
    </w:p>
    <w:p w:rsidR="00000000" w:rsidDel="00000000" w:rsidP="00000000" w:rsidRDefault="00000000" w:rsidRPr="00000000" w14:paraId="0000001C">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Enfin, nous avons rédigé nos comptes rendus et feuilles de temps.</w:t>
      </w:r>
      <w:r w:rsidDel="00000000" w:rsidR="00000000" w:rsidRPr="00000000">
        <w:rPr>
          <w:rtl w:val="0"/>
        </w:rPr>
      </w:r>
    </w:p>
    <w:p w:rsidR="00000000" w:rsidDel="00000000" w:rsidP="00000000" w:rsidRDefault="00000000" w:rsidRPr="00000000" w14:paraId="0000001D">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002.576687116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1840490797545"/>
        <w:gridCol w:w="1952.3926380368098"/>
        <w:gridCol w:w="2955"/>
        <w:gridCol w:w="1575"/>
        <w:tblGridChange w:id="0">
          <w:tblGrid>
            <w:gridCol w:w="930"/>
            <w:gridCol w:w="1590.1840490797545"/>
            <w:gridCol w:w="1952.3926380368098"/>
            <w:gridCol w:w="2955"/>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03/05/2024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Réflexion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Création de la BD (1ère et 2ème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Gantt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Arnaud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Matrice RACI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Arnaud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Vérification du site (Webmicaa)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Nassim, Younes</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