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13/05/2024 de 10h30-12h30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AUBLET|Sophie DONG|Nassim MANSEUR|Younes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tenté de comprendre le code et puis j’ai essayé de faire un début de débogage du site, pour le moment j’ai eu un problème de droit lors du lancement du site. </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Etude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Younes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Début du débogage du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Younes</w:t>
            </w:r>
          </w:p>
        </w:tc>
      </w:tr>
    </w:tbl>
    <w:p w:rsidR="00000000" w:rsidDel="00000000" w:rsidP="00000000" w:rsidRDefault="00000000" w:rsidRPr="00000000" w14:paraId="0000002D">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