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Images, layout descriptions, binary blobs and string dictionaries can be included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application as resource files.  Various Android APIs are designed 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on the resource IDs instead of dealing with images, strings or binary blobs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a sample Android app that contains a user interface layout (main.xml),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internationalization string table (strings.xml) and some icons (drawable-XXX/icon.png)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keep its resources in the "Resources" directory of the application: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drawable/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icon.png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layout/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main.xml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values/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strings.xml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get the build system to recognize Android resources, set the build action 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"AndroidResource".  The native Android APIs do not operate directly with filenames, but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operate on resource IDs.  When you compile an Android application that uses resources,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build system will package the resources for distribution and generate a class called "Resource"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(this is an Android convention) that contains the tokens for each one of the resources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included. For example, for the above Resources layout, this is what the Resource class would expose: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Resource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Drawable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const int icon = 0x123;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Layout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const int main = 0x456;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Strings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const int first_string = 0xabc;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const int second_string = 0xbcd;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would then use Resource.Drawable.icon to reference the drawable/icon.png file, or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Resource.Layout.main to reference the layout/main.xml file, or Resource.Strings.first_string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reference the first string in the dictionary file values/strings.xml.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