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ET AI HACKATHON 2026 — JUDGE PANEL REVIEW</w:t>
      </w:r>
    </w:p>
    <w:p>
      <w:pPr>
        <w:spacing w:after="40"/>
      </w:pPr>
      <w:r>
        <w:rPr>
          <w:color w:val="595959"/>
          <w:sz w:val="26"/>
          <w:szCs w:val="26"/>
        </w:rPr>
        <w:t xml:space="preserve">EPC-Intel — AI Intelligence Platform for Data Centre EPC Project Delivery (Problem Statement 4)</w:t>
      </w:r>
    </w:p>
    <w:p>
      <w:pPr>
        <w:spacing w:after="300"/>
      </w:pPr>
      <w:r>
        <w:rPr>
          <w:i/>
          <w:iCs/>
          <w:color w:val="595959"/>
          <w:sz w:val="20"/>
          <w:szCs w:val="20"/>
        </w:rPr>
        <w:t xml:space="preserve">Subject: Implementation_Guide.docx  ·  Reviewed as: Staff Engineer / Principal AI Architect / VC Technical Due Diligence Panel</w:t>
      </w:r>
    </w:p>
    <w:p>
      <w:pPr>
        <w:pStyle w:val="Heading1"/>
        <w:spacing w:after="160" w:before="360"/>
      </w:pPr>
      <w:r>
        <w:t xml:space="preserve">0. Verdict Up Front</w:t>
      </w:r>
    </w:p>
    <w:p>
      <w:pPr>
        <w:spacing w:after="120"/>
      </w:pPr>
      <w:r>
        <w:t xml:space="preserve">This is a well-organized, engineering-literate document — the layering, DB schema, and LLM-safety patterns (numeric cross-checks, citation validation, low-confidence refusal) are genuinely above the median hackathon submission. But it has one disqualifying structural flaw and several credibility-damaging ones. Read the full breakdown below before the score at the 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1F3864" w:val="clear"/>
          </w:tcPr>
          <w:p>
            <w:r>
              <w:rPr>
                <w:b/>
                <w:bCs/>
                <w:color w:val="FFFFFF"/>
              </w:rPr>
              <w:t xml:space="preserve">Criterion</w:t>
            </w:r>
          </w:p>
        </w:tc>
        <w:tc>
          <w:tcPr>
            <w:tcW w:type="pct" w:w="40%"/>
            <w:shd w:fill="1F3864" w:val="clear"/>
          </w:tcPr>
          <w:p>
            <w:r>
              <w:rPr>
                <w:b/>
                <w:bCs/>
                <w:color w:val="FFFFFF"/>
              </w:rPr>
              <w:t xml:space="preserve">Max</w:t>
            </w:r>
          </w:p>
        </w:tc>
        <w:tc>
          <w:tcPr>
            <w:tcW w:type="pct" w:w="40%"/>
            <w:shd w:fill="1F3864" w:val="clear"/>
          </w:tcPr>
          <w:p>
            <w:r>
              <w:rPr>
                <w:b/>
                <w:bCs/>
                <w:color w:val="FFFFFF"/>
              </w:rPr>
              <w:t xml:space="preserve">Score</w:t>
            </w:r>
          </w:p>
        </w:tc>
        <w:tc>
          <w:tcPr>
            <w:tcW w:type="pct" w:w="40%"/>
            <w:shd w:fill="1F3864" w:val="clear"/>
          </w:tcPr>
          <w:p>
            <w:r>
              <w:rPr>
                <w:b/>
                <w:bCs/>
                <w:color w:val="FFFFFF"/>
              </w:rPr>
              <w:t xml:space="preserve">Why</w:t>
            </w:r>
          </w:p>
        </w:tc>
      </w:tr>
      <w:tr>
        <w:tc>
          <w:tcPr>
            <w:tcW w:type="pct" w:w="22%"/>
          </w:tcPr>
          <w:p>
            <w:r>
              <w:rPr>
                <w:b/>
                <w:bCs/>
              </w:rPr>
              <w:t xml:space="preserve">Innovation</w:t>
            </w:r>
          </w:p>
        </w:tc>
        <w:tc>
          <w:tcPr>
            <w:tcW w:type="pct" w:w="8%"/>
          </w:tcPr>
          <w:p>
            <w:r>
              <w:rPr>
                <w:b w:val="false"/>
                <w:bCs w:val="false"/>
              </w:rPr>
              <w:t xml:space="preserve">25</w:t>
            </w:r>
          </w:p>
        </w:tc>
        <w:tc>
          <w:tcPr>
            <w:tcW w:type="pct" w:w="8%"/>
          </w:tcPr>
          <w:p>
            <w:r>
              <w:rPr>
                <w:b/>
                <w:bCs/>
              </w:rPr>
              <w:t xml:space="preserve">12</w:t>
            </w:r>
          </w:p>
        </w:tc>
        <w:tc>
          <w:tcPr>
            <w:tcW w:type="pct" w:w="62%"/>
          </w:tcPr>
          <w:p>
            <w:r>
              <w:rPr>
                <w:b w:val="false"/>
                <w:bCs w:val="false"/>
              </w:rPr>
              <w:t xml:space="preserve">Executes the brief's own suggestion list one-for-one; no differentiation vs. any other team that read the same problem statement.</w:t>
            </w:r>
          </w:p>
        </w:tc>
      </w:tr>
      <w:tr>
        <w:tc>
          <w:tcPr>
            <w:tcW w:type="pct" w:w="22%"/>
          </w:tcPr>
          <w:p>
            <w:r>
              <w:rPr>
                <w:b/>
                <w:bCs/>
              </w:rPr>
              <w:t xml:space="preserve">Business Impact</w:t>
            </w:r>
          </w:p>
        </w:tc>
        <w:tc>
          <w:tcPr>
            <w:tcW w:type="pct" w:w="8%"/>
          </w:tcPr>
          <w:p>
            <w:r>
              <w:rPr>
                <w:b w:val="false"/>
                <w:bCs w:val="false"/>
              </w:rPr>
              <w:t xml:space="preserve">25</w:t>
            </w:r>
          </w:p>
        </w:tc>
        <w:tc>
          <w:tcPr>
            <w:tcW w:type="pct" w:w="8%"/>
          </w:tcPr>
          <w:p>
            <w:r>
              <w:rPr>
                <w:b/>
                <w:bCs/>
              </w:rPr>
              <w:t xml:space="preserve">16</w:t>
            </w:r>
          </w:p>
        </w:tc>
        <w:tc>
          <w:tcPr>
            <w:tcW w:type="pct" w:w="62%"/>
          </w:tcPr>
          <w:p>
            <w:r>
              <w:rPr>
                <w:b w:val="false"/>
                <w:bCs w:val="false"/>
              </w:rPr>
              <w:t xml:space="preserve">Clear regulated-industry audit story; no ROI/cost-avoidance quantification or reference customer framing.</w:t>
            </w:r>
          </w:p>
        </w:tc>
      </w:tr>
      <w:tr>
        <w:tc>
          <w:tcPr>
            <w:tcW w:type="pct" w:w="22%"/>
          </w:tcPr>
          <w:p>
            <w:r>
              <w:rPr>
                <w:b/>
                <w:bCs/>
              </w:rPr>
              <w:t xml:space="preserve">Technical Excellence</w:t>
            </w:r>
          </w:p>
        </w:tc>
        <w:tc>
          <w:tcPr>
            <w:tcW w:type="pct" w:w="8%"/>
          </w:tcPr>
          <w:p>
            <w:r>
              <w:rPr>
                <w:b w:val="false"/>
                <w:bCs w:val="false"/>
              </w:rPr>
              <w:t xml:space="preserve">20</w:t>
            </w:r>
          </w:p>
        </w:tc>
        <w:tc>
          <w:tcPr>
            <w:tcW w:type="pct" w:w="8%"/>
          </w:tcPr>
          <w:p>
            <w:r>
              <w:rPr>
                <w:b/>
                <w:bCs/>
              </w:rPr>
              <w:t xml:space="preserve">12</w:t>
            </w:r>
          </w:p>
        </w:tc>
        <w:tc>
          <w:tcPr>
            <w:tcW w:type="pct" w:w="62%"/>
          </w:tcPr>
          <w:p>
            <w:r>
              <w:rPr>
                <w:b w:val="false"/>
                <w:bCs w:val="false"/>
              </w:rPr>
              <w:t xml:space="preserve">Solid layering and DB design, undermined by mislabeled 'agents', missing CV module, thin eval sets.</w:t>
            </w:r>
          </w:p>
        </w:tc>
      </w:tr>
      <w:tr>
        <w:tc>
          <w:tcPr>
            <w:tcW w:type="pct" w:w="22%"/>
          </w:tcPr>
          <w:p>
            <w:r>
              <w:rPr>
                <w:b/>
                <w:bCs/>
              </w:rPr>
              <w:t xml:space="preserve">Scalability</w:t>
            </w:r>
          </w:p>
        </w:tc>
        <w:tc>
          <w:tcPr>
            <w:tcW w:type="pct" w:w="8%"/>
          </w:tcPr>
          <w:p>
            <w:r>
              <w:rPr>
                <w:b w:val="false"/>
                <w:bCs w:val="false"/>
              </w:rPr>
              <w:t xml:space="preserve">15</w:t>
            </w:r>
          </w:p>
        </w:tc>
        <w:tc>
          <w:tcPr>
            <w:tcW w:type="pct" w:w="8%"/>
          </w:tcPr>
          <w:p>
            <w:r>
              <w:rPr>
                <w:b/>
                <w:bCs/>
              </w:rPr>
              <w:t xml:space="preserve">8</w:t>
            </w:r>
          </w:p>
        </w:tc>
        <w:tc>
          <w:tcPr>
            <w:tcW w:type="pct" w:w="62%"/>
          </w:tcPr>
          <w:p>
            <w:r>
              <w:rPr>
                <w:b w:val="false"/>
                <w:bCs w:val="false"/>
              </w:rPr>
              <w:t xml:space="preserve">Single Postgres/IVFFLAT/nightly-batch design not benchmarked against the 15k-40k line item scale the problem statement itself cites.</w:t>
            </w:r>
          </w:p>
        </w:tc>
      </w:tr>
      <w:tr>
        <w:tc>
          <w:tcPr>
            <w:tcW w:type="pct" w:w="22%"/>
          </w:tcPr>
          <w:p>
            <w:r>
              <w:rPr>
                <w:b/>
                <w:bCs/>
              </w:rPr>
              <w:t xml:space="preserve">User Experience</w:t>
            </w:r>
          </w:p>
        </w:tc>
        <w:tc>
          <w:tcPr>
            <w:tcW w:type="pct" w:w="8%"/>
          </w:tcPr>
          <w:p>
            <w:r>
              <w:rPr>
                <w:b w:val="false"/>
                <w:bCs w:val="false"/>
              </w:rPr>
              <w:t xml:space="preserve">15</w:t>
            </w:r>
          </w:p>
        </w:tc>
        <w:tc>
          <w:tcPr>
            <w:tcW w:type="pct" w:w="8%"/>
          </w:tcPr>
          <w:p>
            <w:r>
              <w:rPr>
                <w:b/>
                <w:bCs/>
              </w:rPr>
              <w:t xml:space="preserve">10</w:t>
            </w:r>
          </w:p>
        </w:tc>
        <w:tc>
          <w:tcPr>
            <w:tcW w:type="pct" w:w="62%"/>
          </w:tcPr>
          <w:p>
            <w:r>
              <w:rPr>
                <w:b w:val="false"/>
                <w:bCs w:val="false"/>
              </w:rPr>
              <w:t xml:space="preserve">Reasonable page flows; no design for the field technician / low-connectivity user the brief explicitly calls out.</w:t>
            </w:r>
          </w:p>
        </w:tc>
      </w:tr>
      <w:tr>
        <w:tc>
          <w:tcPr>
            <w:tcW w:type="pct" w:w="22%"/>
          </w:tcPr>
          <w:p>
            <w:r>
              <w:rPr>
                <w:b/>
                <w:bCs/>
              </w:rPr>
              <w:t xml:space="preserve">TOTAL</w:t>
            </w:r>
          </w:p>
        </w:tc>
        <w:tc>
          <w:tcPr>
            <w:tcW w:type="pct" w:w="8%"/>
          </w:tcPr>
          <w:p>
            <w:r>
              <w:rPr>
                <w:b/>
                <w:bCs/>
              </w:rPr>
              <w:t xml:space="preserve">100</w:t>
            </w:r>
          </w:p>
        </w:tc>
        <w:tc>
          <w:tcPr>
            <w:tcW w:type="pct" w:w="8%"/>
          </w:tcPr>
          <w:p>
            <w:r>
              <w:rPr>
                <w:b/>
                <w:bCs/>
              </w:rPr>
              <w:t xml:space="preserve">58</w:t>
            </w:r>
          </w:p>
        </w:tc>
        <w:tc>
          <w:tcPr>
            <w:tcW w:type="pct" w:w="62%"/>
          </w:tcPr>
          <w:p>
            <w:r>
              <w:rPr>
                <w:b w:val="false"/>
                <w:bCs w:val="false"/>
              </w:rPr>
              <w:t xml:space="preserve">Passing prototype, not a finals-winning submission as currently scoped.</w:t>
            </w:r>
          </w:p>
        </w:tc>
      </w:tr>
    </w:tbl>
    <w:p>
      <w:pPr>
        <w:pStyle w:val="Heading1"/>
        <w:spacing w:after="160" w:before="360"/>
      </w:pPr>
      <w:r>
        <w:t xml:space="preserve">1. Problem Understanding</w:t>
      </w:r>
    </w:p>
    <w:p>
      <w:pPr>
        <w:spacing w:after="120"/>
      </w:pPr>
      <w:r>
        <w:t xml:space="preserve">The guide maps cleanly to Problem Statement 4's five suggested build areas — Specification &amp; Quality Compliance, Predictive Schedule Risk, Supply Chain Visibility, Commissioning QA Copilot, and Project Knowledge/RFI — one module per suggestion, no more, no less.</w:t>
      </w:r>
    </w:p>
    <w:p>
      <w:pPr>
        <w:pStyle w:val="ListParagraph"/>
        <w:numPr>
          <w:ilvl w:val="0"/>
          <w:numId w:val="2"/>
        </w:numPr>
        <w:spacing w:after="60"/>
      </w:pPr>
      <w:r>
        <w:rPr>
          <w:b/>
          <w:bCs/>
          <w:color w:val="C00000"/>
        </w:rPr>
        <w:t xml:space="preserve">Uncovered requirement: </w:t>
      </w:r>
      <w:r>
        <w:t xml:space="preserve">The suggested technology list explicitly names 'Computer Vision (drawing review, submittal checking).' There is no CV component anywhere in the ten sections of module breakdown. Drawing review — arguably the single most visually distinctive capability a judge would remember — is entirely absent.</w:t>
      </w:r>
    </w:p>
    <w:p>
      <w:pPr>
        <w:pStyle w:val="ListParagraph"/>
        <w:numPr>
          <w:ilvl w:val="0"/>
          <w:numId w:val="2"/>
        </w:numPr>
        <w:spacing w:after="60"/>
      </w:pPr>
      <w:r>
        <w:rPr>
          <w:b/>
          <w:bCs/>
          <w:color w:val="C00000"/>
        </w:rPr>
        <w:t xml:space="preserve">Coverage without differentiation: </w:t>
      </w:r>
      <w:r>
        <w:t xml:space="preserve">Matching the brief one-for-one is table stakes, not innovation. Every team that read the same problem statement will propose the same five modules. Nothing here forces a judge to distinguish this team from the next.</w:t>
      </w:r>
    </w:p>
    <w:p>
      <w:pPr>
        <w:pStyle w:val="ListParagraph"/>
        <w:numPr>
          <w:ilvl w:val="0"/>
          <w:numId w:val="2"/>
        </w:numPr>
        <w:spacing w:after="60"/>
      </w:pPr>
      <w:r>
        <w:rPr>
          <w:b/>
          <w:bCs/>
          <w:color w:val="C00000"/>
        </w:rPr>
        <w:t xml:space="preserve">Deliverables: </w:t>
      </w:r>
      <w:r>
        <w:t xml:space="preserve">Working prototype, architecture diagram, deck, and demo video are all listed as targets — but nothing in this guide constitutes any of those four deliverables yet. It is a build plan, not evidence of a solved problem.</w:t>
      </w:r>
    </w:p>
    <w:p>
      <w:pPr>
        <w:pStyle w:val="Heading1"/>
        <w:spacing w:after="160" w:before="360"/>
      </w:pPr>
      <w:r>
        <w:t xml:space="preserve">2. Architecture Review</w:t>
      </w:r>
    </w:p>
    <w:p>
      <w:pPr>
        <w:spacing w:after="120"/>
      </w:pPr>
      <w:r>
        <w:t xml:space="preserve">The layered backend (router → service → repository → schema) is a legitimate, testable pattern and the DB design (14+ tables, sensible FKs, audit_logs from day one) is more mature than most hackathon entries.</w:t>
      </w:r>
    </w:p>
    <w:p>
      <w:pPr>
        <w:pStyle w:val="ListParagraph"/>
        <w:numPr>
          <w:ilvl w:val="0"/>
          <w:numId w:val="2"/>
        </w:numPr>
        <w:spacing w:after="60"/>
      </w:pPr>
      <w:r>
        <w:rPr>
          <w:b/>
          <w:bCs/>
          <w:color w:val="C00000"/>
        </w:rPr>
        <w:t xml:space="preserve">Naming vs. reality: </w:t>
      </w:r>
      <w:r>
        <w:t xml:space="preserve">Every module is branded 'Agent' or 'Engine' but the architecture diagram in Section 3 shows a single FastAPI monolith calling out to an LLM API and a LightGBM artifact — no agent runtime, no planning loop, no tool-calling framework (LangGraph/CrewAI/AutoGen), no agent-to-agent messaging. This is a modular monolith with AI-augmented service methods, not agentic AI. See Section 6 below.</w:t>
      </w:r>
    </w:p>
    <w:p>
      <w:pPr>
        <w:pStyle w:val="ListParagraph"/>
        <w:numPr>
          <w:ilvl w:val="0"/>
          <w:numId w:val="2"/>
        </w:numPr>
        <w:spacing w:after="60"/>
      </w:pPr>
      <w:r>
        <w:rPr>
          <w:b/>
          <w:bCs/>
          <w:color w:val="C00000"/>
        </w:rPr>
        <w:t xml:space="preserve">Infrastructure sprawl for the timebox: </w:t>
      </w:r>
      <w:r>
        <w:t xml:space="preserve">Postgres+pgvector+PostGIS, Redis, Celery, MinIO/S3, Sentry, Prometheus, and Grafana is nine moving infrastructure parts. Standing all of this up reliably inside 48 hours, on top of five feature modules, is optimistic even for a strong team.</w:t>
      </w:r>
    </w:p>
    <w:p>
      <w:pPr>
        <w:pStyle w:val="ListParagraph"/>
        <w:numPr>
          <w:ilvl w:val="0"/>
          <w:numId w:val="2"/>
        </w:numPr>
        <w:spacing w:after="60"/>
      </w:pPr>
      <w:r>
        <w:rPr>
          <w:b/>
          <w:bCs/>
          <w:color w:val="C00000"/>
        </w:rPr>
        <w:t xml:space="preserve">Single points of failure unaddressed: </w:t>
      </w:r>
      <w:r>
        <w:t xml:space="preserve">No discussion of what happens if the LLM API is rate-limited or down mid-demo, if Celery falls behind on ingestion, or if the embedding service errors — no circuit breakers, no degraded-mode UX are specified anywhere in the 16 sections.</w:t>
      </w:r>
    </w:p>
    <w:p>
      <w:pPr>
        <w:pStyle w:val="ListParagraph"/>
        <w:numPr>
          <w:ilvl w:val="0"/>
          <w:numId w:val="2"/>
        </w:numPr>
        <w:spacing w:after="60"/>
      </w:pPr>
      <w:r>
        <w:rPr>
          <w:b/>
          <w:bCs/>
          <w:color w:val="C00000"/>
        </w:rPr>
        <w:t xml:space="preserve">Multi-tenancy is a convention, not a control: </w:t>
      </w:r>
      <w:r>
        <w:t xml:space="preserve">Project isolation depends entirely on every query remembering to filter by project_id — the document's own 'Common Pitfalls' section admits this is a known failure mode ('Forgetting project_id scoping in retrieval queries'). Relying on developer discipline for tenant isolation in a system that will hold regulated compliance and audit data is a real security gap, not a hackathon nitpick.</w:t>
      </w:r>
    </w:p>
    <w:p>
      <w:pPr>
        <w:spacing w:after="120"/>
      </w:pPr>
      <w:r>
        <w:t xml:space="preserve">Where it will fail under judge questioning: ask any of the module owners to trace a request end-to-end live, and the 'Agent' framing will not survive contact with 'show me the planning step.'</w:t>
      </w:r>
    </w:p>
    <w:p>
      <w:pPr>
        <w:pStyle w:val="Heading1"/>
        <w:spacing w:after="160" w:before="360"/>
      </w:pPr>
      <w:r>
        <w:t xml:space="preserve">3. AI Usage Review</w:t>
      </w:r>
    </w:p>
    <w:p>
      <w:pPr>
        <w:spacing w:after="120"/>
      </w:pPr>
      <w:r>
        <w:t xml:space="preserve">For each AI component, the necessity test ("could rules/SQL/embeddings do this instead?"):</w:t>
      </w:r>
    </w:p>
    <w:p>
      <w:pPr>
        <w:pStyle w:val="ListParagraph"/>
        <w:numPr>
          <w:ilvl w:val="0"/>
          <w:numId w:val="2"/>
        </w:numPr>
        <w:spacing w:after="60"/>
      </w:pPr>
      <w:r>
        <w:t xml:space="preserve">Compliance comparison (LLM): partially justified — the numeric rule-engine companion is the right instinct, because it doesn't trust the LLM alone on safety-critical thresholds. But the semantic-deviation half is still a single LLM call per clause with a retry-once-on-parse-failure safety net — that is thin for a system whose stated purpose is catching deviations 'before they reach site.'</w:t>
      </w:r>
    </w:p>
    <w:p>
      <w:pPr>
        <w:pStyle w:val="ListParagraph"/>
        <w:numPr>
          <w:ilvl w:val="0"/>
          <w:numId w:val="2"/>
        </w:numPr>
        <w:spacing w:after="60"/>
      </w:pPr>
      <w:r>
        <w:t xml:space="preserve">RFI chat (LLM+RAG): justified — open-ended natural-language Q&amp;A over unstructured documents is close to the canonical RAG use case.</w:t>
      </w:r>
    </w:p>
    <w:p>
      <w:pPr>
        <w:pStyle w:val="ListParagraph"/>
        <w:numPr>
          <w:ilvl w:val="0"/>
          <w:numId w:val="2"/>
        </w:numPr>
        <w:spacing w:after="60"/>
      </w:pPr>
      <w:r>
        <w:t xml:space="preserve">Schedule risk (LightGBM): justified and correctly reasoned — tabular, small-N, interpretable via SHAP is the right tool, not an LLM.</w:t>
      </w:r>
    </w:p>
    <w:p>
      <w:pPr>
        <w:pStyle w:val="ListParagraph"/>
        <w:numPr>
          <w:ilvl w:val="0"/>
          <w:numId w:val="2"/>
        </w:numPr>
        <w:spacing w:after="60"/>
      </w:pPr>
      <w:r>
        <w:t xml:space="preserve">Supply chain risk (rule-based, no ML): correctly identified as not needing a model at all — one of the few places in the document that resists AI-for-its-own-sake.</w:t>
      </w:r>
    </w:p>
    <w:p>
      <w:pPr>
        <w:pStyle w:val="ListParagraph"/>
        <w:numPr>
          <w:ilvl w:val="0"/>
          <w:numId w:val="2"/>
        </w:numPr>
        <w:spacing w:after="60"/>
      </w:pPr>
      <w:r>
        <w:rPr>
          <w:b/>
          <w:bCs/>
          <w:color w:val="C00000"/>
        </w:rPr>
        <w:t xml:space="preserve">Unsupported: </w:t>
      </w:r>
      <w:r>
        <w:t xml:space="preserve">The claim that Claude 'reliably' produces schema-compliant JSON and refuses low-confidence answers is asserted, not demonstrated — no failure rate, no cost of the retry path, no data on how often the low-confidence refusal actually fires versus a confident hallucination slipping through.</w:t>
      </w:r>
    </w:p>
    <w:p>
      <w:pPr>
        <w:pStyle w:val="Heading1"/>
        <w:spacing w:after="160" w:before="360"/>
      </w:pPr>
      <w:r>
        <w:t xml:space="preserve">4. Data Review</w:t>
      </w:r>
    </w:p>
    <w:p>
      <w:pPr>
        <w:pStyle w:val="ListParagraph"/>
        <w:numPr>
          <w:ilvl w:val="0"/>
          <w:numId w:val="2"/>
        </w:numPr>
        <w:spacing w:after="60"/>
      </w:pPr>
      <w:r>
        <w:rPr>
          <w:b/>
          <w:bCs/>
          <w:color w:val="C00000"/>
        </w:rPr>
        <w:t xml:space="preserve">Synthetic training risk acknowledged, not solved: </w:t>
      </w:r>
      <w:r>
        <w:t xml:space="preserve">The guide itself flags that a single sample project gives 'limited task-history variety, risking an overfit or trivial model' for the schedule risk classifier, and proposes supplementing with synthetic data — but offers no method for generating realistic synthetic delay patterns, and no plan to validate that synthetic data doesn't just teach the model its own generation logic.</w:t>
      </w:r>
    </w:p>
    <w:p>
      <w:pPr>
        <w:pStyle w:val="ListParagraph"/>
        <w:numPr>
          <w:ilvl w:val="0"/>
          <w:numId w:val="2"/>
        </w:numPr>
        <w:spacing w:after="60"/>
      </w:pPr>
      <w:r>
        <w:rPr>
          <w:b/>
          <w:bCs/>
          <w:color w:val="C00000"/>
        </w:rPr>
        <w:t xml:space="preserve">Eval set size: </w:t>
      </w:r>
      <w:r>
        <w:t xml:space="preserve">30–50 labelled (spec clause, submittal excerpt, is_deviation) pairs is small enough that a single ambiguous example can swing precision/recall by several points. No inter-rater agreement process is described for how those labels were produced.</w:t>
      </w:r>
    </w:p>
    <w:p>
      <w:pPr>
        <w:pStyle w:val="ListParagraph"/>
        <w:numPr>
          <w:ilvl w:val="0"/>
          <w:numId w:val="2"/>
        </w:numPr>
        <w:spacing w:after="60"/>
      </w:pPr>
      <w:r>
        <w:rPr>
          <w:b/>
          <w:bCs/>
          <w:color w:val="C00000"/>
        </w:rPr>
        <w:t xml:space="preserve">OCR is a known weak point with a weak mitigation: </w:t>
      </w:r>
      <w:r>
        <w:t xml:space="preserve">'Mark ingestion as partial' is a UI label, not a fix. Scanned, low-DPI, or handwritten-annotation specifications — explicitly called out as common in this domain — will silently degrade compliance-check quality on exactly the documents most likely to contain edge-case requirements.</w:t>
      </w:r>
    </w:p>
    <w:p>
      <w:pPr>
        <w:pStyle w:val="ListParagraph"/>
        <w:numPr>
          <w:ilvl w:val="0"/>
          <w:numId w:val="2"/>
        </w:numPr>
        <w:spacing w:after="60"/>
      </w:pPr>
      <w:r>
        <w:rPr>
          <w:b/>
          <w:bCs/>
          <w:color w:val="C00000"/>
        </w:rPr>
        <w:t xml:space="preserve">Privacy / compliance: </w:t>
      </w:r>
      <w:r>
        <w:t xml:space="preserve">No mention of how project documents (which may contain client-confidential specifications, personnel names in permits, or regulatory submission data) are handled with respect to data residency, retention, or the fact that document text is being sent to a third-party LLM API (Anthropic) for compliance comparison — a real question in a regulated construction/compliance context.</w:t>
      </w:r>
    </w:p>
    <w:p>
      <w:pPr>
        <w:pStyle w:val="Heading1"/>
        <w:spacing w:after="160" w:before="360"/>
      </w:pPr>
      <w:r>
        <w:t xml:space="preserve">5. Agentic AI Review</w:t>
      </w:r>
    </w:p>
    <w:p>
      <w:pPr>
        <w:spacing w:after="120"/>
      </w:pPr>
      <w:r>
        <w:t xml:space="preserve">This is the single most overstated part of the submission relative to what is actually specified.</w:t>
      </w:r>
    </w:p>
    <w:p>
      <w:pPr>
        <w:pStyle w:val="ListParagraph"/>
        <w:numPr>
          <w:ilvl w:val="0"/>
          <w:numId w:val="2"/>
        </w:numPr>
        <w:spacing w:after="60"/>
      </w:pPr>
      <w:r>
        <w:rPr>
          <w:b/>
          <w:bCs/>
          <w:color w:val="C00000"/>
        </w:rPr>
        <w:t xml:space="preserve">Why multiple agents? Unsupported: </w:t>
      </w:r>
      <w:r>
        <w:t xml:space="preserve">No architectural reason is given for five separate 'agents' beyond mapping to the five suggested build areas. Nothing in the design requires agent autonomy — every module is a deterministic service method with one LLM or ML call inside it.</w:t>
      </w:r>
    </w:p>
    <w:p>
      <w:pPr>
        <w:pStyle w:val="ListParagraph"/>
        <w:numPr>
          <w:ilvl w:val="0"/>
          <w:numId w:val="2"/>
        </w:numPr>
        <w:spacing w:after="60"/>
      </w:pPr>
      <w:r>
        <w:rPr>
          <w:b/>
          <w:bCs/>
          <w:color w:val="C00000"/>
        </w:rPr>
        <w:t xml:space="preserve">Communication overhead: absent: </w:t>
      </w:r>
      <w:r>
        <w:t xml:space="preserve">The described inter-module coordination is 'a webhook/event triggers re-indexing' and shared database tables. There is no agent messaging protocol, no negotiation, no shared planning state.</w:t>
      </w:r>
    </w:p>
    <w:p>
      <w:pPr>
        <w:pStyle w:val="ListParagraph"/>
        <w:numPr>
          <w:ilvl w:val="0"/>
          <w:numId w:val="2"/>
        </w:numPr>
        <w:spacing w:after="60"/>
      </w:pPr>
      <w:r>
        <w:rPr>
          <w:b/>
          <w:bCs/>
          <w:color w:val="C00000"/>
        </w:rPr>
        <w:t xml:space="preserve">Failure recovery: unaddressed: </w:t>
      </w:r>
      <w:r>
        <w:t xml:space="preserve">No described behavior for one 'agent' failing mid-workflow and another needing to compensate or retry on its behalf — because there is no cross-agent workflow to fail.</w:t>
      </w:r>
    </w:p>
    <w:p>
      <w:pPr>
        <w:pStyle w:val="ListParagraph"/>
        <w:numPr>
          <w:ilvl w:val="0"/>
          <w:numId w:val="2"/>
        </w:numPr>
        <w:spacing w:after="60"/>
      </w:pPr>
      <w:r>
        <w:rPr>
          <w:b/>
          <w:bCs/>
          <w:color w:val="C00000"/>
        </w:rPr>
        <w:t xml:space="preserve">Cost / token usage: unaddressed: </w:t>
      </w:r>
      <w:r>
        <w:t xml:space="preserve">No token budget, no cost-per-request estimate, no discussion of what happens to unit economics if RFI chat or compliance checks are used at real project volume.</w:t>
      </w:r>
    </w:p>
    <w:p>
      <w:pPr>
        <w:spacing w:after="120"/>
      </w:pPr>
      <w:r>
        <w:t xml:space="preserve">Recommendation: rename these as what they are — service modules with an AI or ML component each — and either genuinely implement agentic orchestration (a planner that sequences compliance checks, schedule updates, and notifications autonomously) or stop claiming the 'Agentic AI / Multi-Agent Systems' suggested technology. Judges who have seen real agent frameworks will notice the gap in the first five minutes.</w:t>
      </w:r>
    </w:p>
    <w:p>
      <w:pPr>
        <w:pStyle w:val="Heading1"/>
        <w:spacing w:after="160" w:before="360"/>
      </w:pPr>
      <w:r>
        <w:t xml:space="preserve">6. RAG Review</w:t>
      </w:r>
    </w:p>
    <w:p>
      <w:pPr>
        <w:pStyle w:val="ListParagraph"/>
        <w:numPr>
          <w:ilvl w:val="0"/>
          <w:numId w:val="2"/>
        </w:numPr>
        <w:spacing w:after="60"/>
      </w:pPr>
      <w:r>
        <w:t xml:space="preserve">Chunking: fixed ~500 tokens / 100-token overlap, recursive splitter respecting headers — reasonable default, not validated against the eval set.</w:t>
      </w:r>
    </w:p>
    <w:p>
      <w:pPr>
        <w:pStyle w:val="ListParagraph"/>
        <w:numPr>
          <w:ilvl w:val="0"/>
          <w:numId w:val="2"/>
        </w:numPr>
        <w:spacing w:after="60"/>
      </w:pPr>
      <w:r>
        <w:t xml:space="preserve">Retrieval: plain pgvector cosine top-k, no hybrid (keyword + vector) search and no reranking step — for technical specification language full of clause numbers, units, and codes, pure dense retrieval alone is a known weak spot (exact-match terms like '415V' or 'Clause 4.2.3' are exactly what dense embeddings handle worst).</w:t>
      </w:r>
    </w:p>
    <w:p>
      <w:pPr>
        <w:pStyle w:val="ListParagraph"/>
        <w:numPr>
          <w:ilvl w:val="0"/>
          <w:numId w:val="2"/>
        </w:numPr>
        <w:spacing w:after="60"/>
      </w:pPr>
      <w:r>
        <w:t xml:space="preserve">Citations: validated against actually-retrieved chunk IDs before rendering — this is a genuinely good anti-hallucination pattern, one of the strongest parts of the document.</w:t>
      </w:r>
    </w:p>
    <w:p>
      <w:pPr>
        <w:pStyle w:val="ListParagraph"/>
        <w:numPr>
          <w:ilvl w:val="0"/>
          <w:numId w:val="2"/>
        </w:numPr>
        <w:spacing w:after="60"/>
      </w:pPr>
      <w:r>
        <w:t xml:space="preserve">Hallucination control: low-confidence refusal threshold is specified in principle but no actual threshold value or tuning methodology is given.</w:t>
      </w:r>
    </w:p>
    <w:p>
      <w:pPr>
        <w:pStyle w:val="ListParagraph"/>
        <w:numPr>
          <w:ilvl w:val="0"/>
          <w:numId w:val="2"/>
        </w:numPr>
        <w:spacing w:after="60"/>
      </w:pPr>
      <w:r>
        <w:t xml:space="preserve">Document versioning: a single version field on the documents table with no described diffing or superseded-clause handling — a revised spec could leave stale, contradictory chunks retrievable alongside the new ones.</w:t>
      </w:r>
    </w:p>
    <w:p>
      <w:pPr>
        <w:pStyle w:val="ListParagraph"/>
        <w:numPr>
          <w:ilvl w:val="0"/>
          <w:numId w:val="2"/>
        </w:numPr>
        <w:spacing w:after="60"/>
      </w:pPr>
      <w:r>
        <w:t xml:space="preserve">Vector DB choice: pgvector is a reasonable hackathon-scale choice and correctly justified as avoiding a separate vector DB stand-up; no discussion of the cost of migrating off it if projects scale to hundreds of thousands of chunks (IVFFLAT recall degrades without periodic reindexing, as EPC document corpora — thousands of pages per project — will require at production scale).</w:t>
      </w:r>
    </w:p>
    <w:p>
      <w:pPr>
        <w:pStyle w:val="ListParagraph"/>
        <w:numPr>
          <w:ilvl w:val="0"/>
          <w:numId w:val="2"/>
        </w:numPr>
        <w:spacing w:after="60"/>
      </w:pPr>
      <w:r>
        <w:t xml:space="preserve">Metadata filtering: page/section metadata is stored but no query-time filtering by document_type or spec_code is described, meaning a query cannot easily be scoped to 'only mechanical spec clauses' without a broader retrieval pass.</w:t>
      </w:r>
    </w:p>
    <w:p>
      <w:pPr>
        <w:pStyle w:val="Heading1"/>
        <w:spacing w:after="160" w:before="360"/>
      </w:pPr>
      <w:r>
        <w:t xml:space="preserve">7. Model Review (Schedule Risk)</w:t>
      </w:r>
    </w:p>
    <w:p>
      <w:pPr>
        <w:pStyle w:val="ListParagraph"/>
        <w:numPr>
          <w:ilvl w:val="0"/>
          <w:numId w:val="2"/>
        </w:numPr>
        <w:spacing w:after="60"/>
      </w:pPr>
      <w:r>
        <w:t xml:space="preserve">Training data: 'hundreds to low-thousands of rows,' source unspecified (historical/synthetic mix).</w:t>
      </w:r>
    </w:p>
    <w:p>
      <w:pPr>
        <w:pStyle w:val="ListParagraph"/>
        <w:numPr>
          <w:ilvl w:val="0"/>
          <w:numId w:val="2"/>
        </w:numPr>
        <w:spacing w:after="60"/>
      </w:pPr>
      <w:r>
        <w:t xml:space="preserve">Labels: implicit from actual vs. planned dates — reasonable, but no description of how ambiguous or missing actual-date records are handled.</w:t>
      </w:r>
    </w:p>
    <w:p>
      <w:pPr>
        <w:pStyle w:val="ListParagraph"/>
        <w:numPr>
          <w:ilvl w:val="0"/>
          <w:numId w:val="2"/>
        </w:numPr>
        <w:spacing w:after="60"/>
      </w:pPr>
      <w:r>
        <w:t xml:space="preserve">Evaluation: time-based holdout and a stated intent to compare against a naive 'always predict on-time' baseline — correct methodology, but no reported numbers exist yet.</w:t>
      </w:r>
    </w:p>
    <w:p>
      <w:pPr>
        <w:pStyle w:val="ListParagraph"/>
        <w:numPr>
          <w:ilvl w:val="0"/>
          <w:numId w:val="2"/>
        </w:numPr>
        <w:spacing w:after="60"/>
      </w:pPr>
      <w:r>
        <w:t xml:space="preserve">Generalization: single sample project as primary training source is a real overfitting risk that the document itself names but does not solve.</w:t>
      </w:r>
    </w:p>
    <w:p>
      <w:pPr>
        <w:pStyle w:val="ListParagraph"/>
        <w:numPr>
          <w:ilvl w:val="0"/>
          <w:numId w:val="2"/>
        </w:numPr>
        <w:spacing w:after="60"/>
      </w:pPr>
      <w:r>
        <w:rPr>
          <w:b/>
          <w:bCs/>
          <w:color w:val="C00000"/>
        </w:rPr>
        <w:t xml:space="preserve">Could XGBoost/a heuristic perform as well or better?: </w:t>
      </w:r>
      <w:r>
        <w:t xml:space="preserve">For six hand-engineered features on a few hundred rows, a simple weighted heuristic or logistic regression might match LightGBM's performance with far less complexity and full interpretability without needing SHAP — this comparison is never made.</w:t>
      </w:r>
    </w:p>
    <w:p>
      <w:pPr>
        <w:pStyle w:val="Heading1"/>
        <w:spacing w:after="160" w:before="360"/>
      </w:pPr>
      <w:r>
        <w:t xml:space="preserve">8. Implementation Feasibility — the disqualifying flaw</w:t>
      </w:r>
    </w:p>
    <w:p>
      <w:pPr>
        <w:spacing w:after="120"/>
      </w:pPr>
      <w:r>
        <w:t xml:space="preserve">Stated constraints: 48-hour hackathon, 4 developers, limited GPU, no proprietary industrial data.</w:t>
      </w:r>
    </w:p>
    <w:p>
      <w:pPr>
        <w:pStyle w:val="ListParagraph"/>
        <w:numPr>
          <w:ilvl w:val="0"/>
          <w:numId w:val="2"/>
        </w:numPr>
        <w:spacing w:after="60"/>
      </w:pPr>
      <w:r>
        <w:rPr>
          <w:b/>
          <w:bCs/>
          <w:color w:val="C00000"/>
        </w:rPr>
        <w:t xml:space="preserve">Timeline mismatch: </w:t>
      </w:r>
      <w:r>
        <w:t xml:space="preserve">Section 11's own phased plan runs Days 1–2, 2–3, 3–4, 4–7, 5–9, and 9–10 — a 10-day build plan, not 48 hours. This is not a rounding error; it is roughly a 5x scope overrun against the actual hackathon clock.</w:t>
      </w:r>
    </w:p>
    <w:p>
      <w:pPr>
        <w:pStyle w:val="ListParagraph"/>
        <w:numPr>
          <w:ilvl w:val="0"/>
          <w:numId w:val="2"/>
        </w:numPr>
        <w:spacing w:after="60"/>
      </w:pPr>
      <w:r>
        <w:rPr>
          <w:b/>
          <w:bCs/>
          <w:color w:val="C00000"/>
        </w:rPr>
        <w:t xml:space="preserve">Team size mismatch: </w:t>
      </w:r>
      <w:r>
        <w:t xml:space="preserve">The document explicitly states it is 'sized for a team of 5–6 developers' and its own parallelisation tip assigns 2 on Compliance+RFI, 1 on Schedule Risk, 1 on Supply Chain+Commissioning, and 1–2 on Frontend — six roles for a four-person team.</w:t>
      </w:r>
    </w:p>
    <w:p>
      <w:pPr>
        <w:pStyle w:val="ListParagraph"/>
        <w:numPr>
          <w:ilvl w:val="0"/>
          <w:numId w:val="2"/>
        </w:numPr>
        <w:spacing w:after="60"/>
      </w:pPr>
      <w:r>
        <w:rPr>
          <w:b/>
          <w:bCs/>
          <w:color w:val="C00000"/>
        </w:rPr>
        <w:t xml:space="preserve">No GPU-aware scoping given as a constraint: </w:t>
      </w:r>
      <w:r>
        <w:t xml:space="preserve">To its credit, the AI/ML section correctly notes all four models are CPU/API-based and need no GPU — this part is realistic. But it doesn't offset the day/headcount overrun above.</w:t>
      </w:r>
    </w:p>
    <w:p>
      <w:pPr>
        <w:spacing w:after="120"/>
      </w:pPr>
      <w:r>
        <w:t xml:space="preserve">If this plan is executed literally, the team will not finish three of the five modules inside the actual time available. The single highest-priority fix is not technical — it's descoping this into a 48-hour, 4-person critical path with named cuts, not a wishlist of everything the problem statement suggested.</w:t>
      </w:r>
    </w:p>
    <w:p>
      <w:pPr>
        <w:pStyle w:val="Heading1"/>
        <w:spacing w:after="160" w:before="360"/>
      </w:pPr>
      <w:r>
        <w:t xml:space="preserve">9. Innovation Review</w:t>
      </w:r>
    </w:p>
    <w:p>
      <w:pPr>
        <w:spacing w:after="120"/>
      </w:pPr>
      <w:r>
        <w:t xml:space="preserve">Assume every other team also has RAG, an LLM, a vector DB, and calls their services 'agents.'</w:t>
      </w:r>
    </w:p>
    <w:p>
      <w:pPr>
        <w:pStyle w:val="ListParagraph"/>
        <w:numPr>
          <w:ilvl w:val="0"/>
          <w:numId w:val="2"/>
        </w:numPr>
        <w:spacing w:after="60"/>
      </w:pPr>
      <w:r>
        <w:rPr>
          <w:b/>
          <w:bCs/>
          <w:color w:val="C00000"/>
        </w:rPr>
        <w:t xml:space="preserve">What's genuinely innovative here?: </w:t>
      </w:r>
      <w:r>
        <w:t xml:space="preserve">The dual-layer compliance check (LLM semantic comparison + deterministic numeric rule engine running in parallel, with the rule engine winning ties) is a legitimately good, defensible design choice most teams will not think of. That is the one idea worth leading with on stage.</w:t>
      </w:r>
    </w:p>
    <w:p>
      <w:pPr>
        <w:pStyle w:val="ListParagraph"/>
        <w:numPr>
          <w:ilvl w:val="0"/>
          <w:numId w:val="2"/>
        </w:numPr>
        <w:spacing w:after="60"/>
      </w:pPr>
      <w:r>
        <w:rPr>
          <w:b/>
          <w:bCs/>
          <w:color w:val="C00000"/>
        </w:rPr>
        <w:t xml:space="preserve">What's commodity?: </w:t>
      </w:r>
      <w:r>
        <w:t xml:space="preserve">RAG over documents, an LLM chatbot with citations, and a gradient-boosted risk score are now baseline expectations at any AI hackathon, not differentiators. Five out of six meaningful design decisions in this document are commodity-tier.</w:t>
      </w:r>
    </w:p>
    <w:p>
      <w:pPr>
        <w:spacing w:after="120"/>
      </w:pPr>
      <w:r>
        <w:t xml:space="preserve">Why should judges remember this solution? As written: they probably won't, beyond the compliance dual-check. Everything else is a competent implementation of exactly what the problem statement already suggested.</w:t>
      </w:r>
    </w:p>
    <w:p>
      <w:pPr>
        <w:pStyle w:val="Heading1"/>
        <w:spacing w:after="160" w:before="360"/>
      </w:pPr>
      <w:r>
        <w:t xml:space="preserve">10. Business Impact</w:t>
      </w:r>
    </w:p>
    <w:p>
      <w:pPr>
        <w:pStyle w:val="ListParagraph"/>
        <w:numPr>
          <w:ilvl w:val="0"/>
          <w:numId w:val="2"/>
        </w:numPr>
        <w:spacing w:after="60"/>
      </w:pPr>
      <w:r>
        <w:t xml:space="preserve">ROI: implied via the cited 67% schedule-overrun statistic and $15B market, but never connected to a concrete cost-avoidance number for this specific product.</w:t>
      </w:r>
    </w:p>
    <w:p>
      <w:pPr>
        <w:pStyle w:val="ListParagraph"/>
        <w:numPr>
          <w:ilvl w:val="0"/>
          <w:numId w:val="2"/>
        </w:numPr>
        <w:spacing w:after="60"/>
      </w:pPr>
      <w:r>
        <w:t xml:space="preserve">Deployment cost: containerized and cloud-portable — reasonable — but no cost-per-project estimate, including LLM API spend at real volume.</w:t>
      </w:r>
    </w:p>
    <w:p>
      <w:pPr>
        <w:pStyle w:val="ListParagraph"/>
        <w:numPr>
          <w:ilvl w:val="0"/>
          <w:numId w:val="2"/>
        </w:numPr>
        <w:spacing w:after="60"/>
      </w:pPr>
      <w:r>
        <w:t xml:space="preserve">Enterprise adoption: no discussion of how this integrates with, replaces, or competes against incumbent EPC/construction platforms already in use (Procore, Autodesk Construction Cloud, Oracle Aconex).</w:t>
      </w:r>
    </w:p>
    <w:p>
      <w:pPr>
        <w:pStyle w:val="ListParagraph"/>
        <w:numPr>
          <w:ilvl w:val="0"/>
          <w:numId w:val="2"/>
        </w:numPr>
        <w:spacing w:after="60"/>
      </w:pPr>
      <w:r>
        <w:t xml:space="preserve">Explainability: strong on the ML side (SHAP factors) and the RAG side (citations) — this is a genuine strength worth keeping in the pitch.</w:t>
      </w:r>
    </w:p>
    <w:p>
      <w:pPr>
        <w:pStyle w:val="ListParagraph"/>
        <w:numPr>
          <w:ilvl w:val="0"/>
          <w:numId w:val="2"/>
        </w:numPr>
        <w:spacing w:after="60"/>
      </w:pPr>
      <w:r>
        <w:rPr>
          <w:b/>
          <w:bCs/>
          <w:color w:val="C00000"/>
        </w:rPr>
        <w:t xml:space="preserve">Security &amp; compliance: </w:t>
      </w:r>
      <w:r>
        <w:t xml:space="preserve">audit_logs exist for override/dismiss actions, which is good instinct, but there is no discussion of SOC2/ISO27001-style controls, data residency for an LLM API call containing client specification text, or contractual liability if a missed deviation reaches a live build.</w:t>
      </w:r>
    </w:p>
    <w:p>
      <w:pPr>
        <w:pStyle w:val="Heading1"/>
        <w:spacing w:after="160" w:before="360"/>
      </w:pPr>
      <w:r>
        <w:t xml:space="preserve">11. Judge Questions — 30 Likely Finals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6%"/>
            <w:shd w:fill="1F3864" w:val="clear"/>
          </w:tcPr>
          <w:p>
            <w:r>
              <w:rPr>
                <w:b/>
                <w:bCs/>
                <w:color w:val="FFFFFF"/>
              </w:rPr>
              <w:t xml:space="preserve">#</w:t>
            </w:r>
          </w:p>
        </w:tc>
        <w:tc>
          <w:tcPr>
            <w:tcW w:type="pct" w:w="20%"/>
            <w:shd w:fill="1F3864" w:val="clear"/>
          </w:tcPr>
          <w:p>
            <w:r>
              <w:rPr>
                <w:b/>
                <w:bCs/>
                <w:color w:val="FFFFFF"/>
              </w:rPr>
              <w:t xml:space="preserve">Category</w:t>
            </w:r>
          </w:p>
        </w:tc>
        <w:tc>
          <w:tcPr>
            <w:tcW w:type="pct" w:w="50%"/>
            <w:shd w:fill="1F3864" w:val="clear"/>
          </w:tcPr>
          <w:p>
            <w:r>
              <w:rPr>
                <w:b/>
                <w:bCs/>
                <w:color w:val="FFFFFF"/>
              </w:rPr>
              <w:t xml:space="preserve">Question</w:t>
            </w:r>
          </w:p>
        </w:tc>
      </w:tr>
      <w:tr>
        <w:tc>
          <w:p>
            <w:r>
              <w:t xml:space="preserve">1</w:t>
            </w:r>
          </w:p>
        </w:tc>
        <w:tc>
          <w:p>
            <w:r>
              <w:t xml:space="preserve">Architecture</w:t>
            </w:r>
          </w:p>
        </w:tc>
        <w:tc>
          <w:p>
            <w:r>
              <w:t xml:space="preserve">Your modules are named 'Compliance Agent', 'Schedule Risk Engine', 'Commissioning Copilot' — walk us through the actual autonomy loop. Where is planning, tool selection, or inter-agent negotiation happening, versus a FastAPI service calling an LLM once?</w:t>
            </w:r>
          </w:p>
        </w:tc>
      </w:tr>
      <w:tr>
        <w:tc>
          <w:p>
            <w:r>
              <w:t xml:space="preserve">2</w:t>
            </w:r>
          </w:p>
        </w:tc>
        <w:tc>
          <w:p>
            <w:r>
              <w:t xml:space="preserve">Architecture</w:t>
            </w:r>
          </w:p>
        </w:tc>
        <w:tc>
          <w:p>
            <w:r>
              <w:t xml:space="preserve">Your build plan spans Phase 1 through Phase 6 across roughly 10 days with a 5-6 person team. This is a 48-hour hackathon with 4 developers. What gets cut, and who decided?</w:t>
            </w:r>
          </w:p>
        </w:tc>
      </w:tr>
      <w:tr>
        <w:tc>
          <w:p>
            <w:r>
              <w:t xml:space="preserve">3</w:t>
            </w:r>
          </w:p>
        </w:tc>
        <w:tc>
          <w:p>
            <w:r>
              <w:t xml:space="preserve">Architecture</w:t>
            </w:r>
          </w:p>
        </w:tc>
        <w:tc>
          <w:p>
            <w:r>
              <w:t xml:space="preserve">Postgres + pgvector + PostGIS + Redis + Celery + MinIO + S3 + Sentry + Prometheus + Grafana — that's 9 infrastructure components for a 48-hour build. Which three do you actually stand up, and what breaks without the other six?</w:t>
            </w:r>
          </w:p>
        </w:tc>
      </w:tr>
      <w:tr>
        <w:tc>
          <w:p>
            <w:r>
              <w:t xml:space="preserve">4</w:t>
            </w:r>
          </w:p>
        </w:tc>
        <w:tc>
          <w:p>
            <w:r>
              <w:t xml:space="preserve">AI Usage</w:t>
            </w:r>
          </w:p>
        </w:tc>
        <w:tc>
          <w:p>
            <w:r>
              <w:t xml:space="preserve">For the Compliance Agent, why is an LLM comparing clause text to submittal text instead of a simpler embedding-similarity + rule-based threshold check? What does the LLM add that justifies its latency and hallucination risk?</w:t>
            </w:r>
          </w:p>
        </w:tc>
      </w:tr>
      <w:tr>
        <w:tc>
          <w:p>
            <w:r>
              <w:t xml:space="preserve">5</w:t>
            </w:r>
          </w:p>
        </w:tc>
        <w:tc>
          <w:p>
            <w:r>
              <w:t xml:space="preserve">AI Usage</w:t>
            </w:r>
          </w:p>
        </w:tc>
        <w:tc>
          <w:p>
            <w:r>
              <w:t xml:space="preserve">Your own document lists 'letting RAG answer with no retrieval hits' as a common pitfall you're aware of. Show us the actual threshold value and the eval data that justified picking it.</w:t>
            </w:r>
          </w:p>
        </w:tc>
      </w:tr>
      <w:tr>
        <w:tc>
          <w:p>
            <w:r>
              <w:t xml:space="preserve">6</w:t>
            </w:r>
          </w:p>
        </w:tc>
        <w:tc>
          <w:p>
            <w:r>
              <w:t xml:space="preserve">AI Usage</w:t>
            </w:r>
          </w:p>
        </w:tc>
        <w:tc>
          <w:p>
            <w:r>
              <w:t xml:space="preserve">Why is Claude used for structured JSON extraction (compliance comparison) instead of a cheaper, faster, more deterministic approach — a fine-tuned classifier or a constrained decoding schema?</w:t>
            </w:r>
          </w:p>
        </w:tc>
      </w:tr>
      <w:tr>
        <w:tc>
          <w:p>
            <w:r>
              <w:t xml:space="preserve">7</w:t>
            </w:r>
          </w:p>
        </w:tc>
        <w:tc>
          <w:p>
            <w:r>
              <w:t xml:space="preserve">Data</w:t>
            </w:r>
          </w:p>
        </w:tc>
        <w:tc>
          <w:p>
            <w:r>
              <w:t xml:space="preserve">Your schedule risk model trains on 'hundreds to low-thousands of rows' of historical or synthetic task data. What's the actual precision/recall or MAE you're reporting, and on what holdout?</w:t>
            </w:r>
          </w:p>
        </w:tc>
      </w:tr>
      <w:tr>
        <w:tc>
          <w:p>
            <w:r>
              <w:t xml:space="preserve">8</w:t>
            </w:r>
          </w:p>
        </w:tc>
        <w:tc>
          <w:p>
            <w:r>
              <w:t xml:space="preserve">Data</w:t>
            </w:r>
          </w:p>
        </w:tc>
        <w:tc>
          <w:p>
            <w:r>
              <w:t xml:space="preserve">You acknowledge OCR failure risk on scanned specs but the mitigation is 'mark ingestion as partial.' What percentage of your demo corpus is scanned, and what does a QA engineer do with a partially-ingested spec at 2am before a submission deadline?</w:t>
            </w:r>
          </w:p>
        </w:tc>
      </w:tr>
      <w:tr>
        <w:tc>
          <w:p>
            <w:r>
              <w:t xml:space="preserve">9</w:t>
            </w:r>
          </w:p>
        </w:tc>
        <w:tc>
          <w:p>
            <w:r>
              <w:t xml:space="preserve">Data</w:t>
            </w:r>
          </w:p>
        </w:tc>
        <w:tc>
          <w:p>
            <w:r>
              <w:t xml:space="preserve">Where did your 30-50 labelled compliance pairs for the eval set come from? Are they real specification clauses or synthetic examples you wrote to make your own model look good?</w:t>
            </w:r>
          </w:p>
        </w:tc>
      </w:tr>
      <w:tr>
        <w:tc>
          <w:p>
            <w:r>
              <w:t xml:space="preserve">10</w:t>
            </w:r>
          </w:p>
        </w:tc>
        <w:tc>
          <w:p>
            <w:r>
              <w:t xml:space="preserve">Agentic AI</w:t>
            </w:r>
          </w:p>
        </w:tc>
        <w:tc>
          <w:p>
            <w:r>
              <w:t xml:space="preserve">You have five 'agents' with zero communication between them beyond writing to shared Postgres tables. What is lost by calling this a modular monolith instead of agentic AI?</w:t>
            </w:r>
          </w:p>
        </w:tc>
      </w:tr>
      <w:tr>
        <w:tc>
          <w:p>
            <w:r>
              <w:t xml:space="preserve">11</w:t>
            </w:r>
          </w:p>
        </w:tc>
        <w:tc>
          <w:p>
            <w:r>
              <w:t xml:space="preserve">Agentic AI</w:t>
            </w:r>
          </w:p>
        </w:tc>
        <w:tc>
          <w:p>
            <w:r>
              <w:t xml:space="preserve">If this isn't multi-agent, why does the judging rubric's 'Agentic AI / Multi-Agent Systems' suggested technology apply to your submission at all?</w:t>
            </w:r>
          </w:p>
        </w:tc>
      </w:tr>
      <w:tr>
        <w:tc>
          <w:p>
            <w:r>
              <w:t xml:space="preserve">12</w:t>
            </w:r>
          </w:p>
        </w:tc>
        <w:tc>
          <w:p>
            <w:r>
              <w:t xml:space="preserve">RAG</w:t>
            </w:r>
          </w:p>
        </w:tc>
        <w:tc>
          <w:p>
            <w:r>
              <w:t xml:space="preserve">Your chunking is fixed at ~500 tokens with 100-token overlap. Did you test alternative chunk sizes against your eval set, or is this a default you copied?</w:t>
            </w:r>
          </w:p>
        </w:tc>
      </w:tr>
      <w:tr>
        <w:tc>
          <w:p>
            <w:r>
              <w:t xml:space="preserve">13</w:t>
            </w:r>
          </w:p>
        </w:tc>
        <w:tc>
          <w:p>
            <w:r>
              <w:t xml:space="preserve">RAG</w:t>
            </w:r>
          </w:p>
        </w:tc>
        <w:tc>
          <w:p>
            <w:r>
              <w:t xml:space="preserve">You retrieve top-k=8 for compliance and top-k=6 for RFI chat with no reranking step. How do you know the right clause isn't sitting at rank 9?</w:t>
            </w:r>
          </w:p>
        </w:tc>
      </w:tr>
      <w:tr>
        <w:tc>
          <w:p>
            <w:r>
              <w:t xml:space="preserve">14</w:t>
            </w:r>
          </w:p>
        </w:tc>
        <w:tc>
          <w:p>
            <w:r>
              <w:t xml:space="preserve">RAG</w:t>
            </w:r>
          </w:p>
        </w:tc>
        <w:tc>
          <w:p>
            <w:r>
              <w:t xml:space="preserve">How do you handle a specification revision — does the system silently re-embed and orphan old chunks, or do old citations start pointing at superseded clauses?</w:t>
            </w:r>
          </w:p>
        </w:tc>
      </w:tr>
      <w:tr>
        <w:tc>
          <w:p>
            <w:r>
              <w:t xml:space="preserve">15</w:t>
            </w:r>
          </w:p>
        </w:tc>
        <w:tc>
          <w:p>
            <w:r>
              <w:t xml:space="preserve">Model</w:t>
            </w:r>
          </w:p>
        </w:tc>
        <w:tc>
          <w:p>
            <w:r>
              <w:t xml:space="preserve">Why LightGBM for schedule risk instead of a simple logistic regression baseline, given your feature set is six hand-engineered numeric variables?</w:t>
            </w:r>
          </w:p>
        </w:tc>
      </w:tr>
      <w:tr>
        <w:tc>
          <w:p>
            <w:r>
              <w:t xml:space="preserve">16</w:t>
            </w:r>
          </w:p>
        </w:tc>
        <w:tc>
          <w:p>
            <w:r>
              <w:t xml:space="preserve">Model</w:t>
            </w:r>
          </w:p>
        </w:tc>
        <w:tc>
          <w:p>
            <w:r>
              <w:t xml:space="preserve">What is your naive baseline for the schedule risk classifier, and does LightGBM actually beat it on your validation split, or is that comparison still theoretical?</w:t>
            </w:r>
          </w:p>
        </w:tc>
      </w:tr>
      <w:tr>
        <w:tc>
          <w:p>
            <w:r>
              <w:t xml:space="preserve">17</w:t>
            </w:r>
          </w:p>
        </w:tc>
        <w:tc>
          <w:p>
            <w:r>
              <w:t xml:space="preserve">Model</w:t>
            </w:r>
          </w:p>
        </w:tc>
        <w:tc>
          <w:p>
            <w:r>
              <w:t xml:space="preserve">The numeric compliance rule engine is described as regex + a units library. What happens when a clause reads '750mm minimum, 900mm preferred' — does your parser handle compound or conditional numeric requirements?</w:t>
            </w:r>
          </w:p>
        </w:tc>
      </w:tr>
      <w:tr>
        <w:tc>
          <w:p>
            <w:r>
              <w:t xml:space="preserve">18</w:t>
            </w:r>
          </w:p>
        </w:tc>
        <w:tc>
          <w:p>
            <w:r>
              <w:t xml:space="preserve">Scalability</w:t>
            </w:r>
          </w:p>
        </w:tc>
        <w:tc>
          <w:p>
            <w:r>
              <w:t xml:space="preserve">The problem statement cites 15,000-40,000 equipment line items and up to 200 concurrent trade contractors per project. Your demo scope is 30-50 documents and 100 schedule tasks. What in your architecture — not your roadmap — actually scales, versus what would need to be rebuilt?</w:t>
            </w:r>
          </w:p>
        </w:tc>
      </w:tr>
      <w:tr>
        <w:tc>
          <w:p>
            <w:r>
              <w:t xml:space="preserve">19</w:t>
            </w:r>
          </w:p>
        </w:tc>
        <w:tc>
          <w:p>
            <w:r>
              <w:t xml:space="preserve">Scalability</w:t>
            </w:r>
          </w:p>
        </w:tc>
        <w:tc>
          <w:p>
            <w:r>
              <w:t xml:space="preserve">IVFFLAT indexes degrade in recall as the vector table grows without periodic reindexing. What's your reindex strategy at 500k+ chunks across a real EPC document corpus?</w:t>
            </w:r>
          </w:p>
        </w:tc>
      </w:tr>
      <w:tr>
        <w:tc>
          <w:p>
            <w:r>
              <w:t xml:space="preserve">20</w:t>
            </w:r>
          </w:p>
        </w:tc>
        <w:tc>
          <w:p>
            <w:r>
              <w:t xml:space="preserve">Scalability</w:t>
            </w:r>
          </w:p>
        </w:tc>
        <w:tc>
          <w:p>
            <w:r>
              <w:t xml:space="preserve">Schedule risk is computed nightly plus on-demand. At what project size does 'on-demand' recomputation stop being sub-second, and what's the fallback?</w:t>
            </w:r>
          </w:p>
        </w:tc>
      </w:tr>
      <w:tr>
        <w:tc>
          <w:p>
            <w:r>
              <w:t xml:space="preserve">21</w:t>
            </w:r>
          </w:p>
        </w:tc>
        <w:tc>
          <w:p>
            <w:r>
              <w:t xml:space="preserve">Cost</w:t>
            </w:r>
          </w:p>
        </w:tc>
        <w:tc>
          <w:p>
            <w:r>
              <w:t xml:space="preserve">What's your estimated per-project monthly cost for LLM calls at real usage volume — hundreds of submittals and thousands of RFI questions a month, not hackathon demo volume?</w:t>
            </w:r>
          </w:p>
        </w:tc>
      </w:tr>
      <w:tr>
        <w:tc>
          <w:p>
            <w:r>
              <w:t xml:space="preserve">22</w:t>
            </w:r>
          </w:p>
        </w:tc>
        <w:tc>
          <w:p>
            <w:r>
              <w:t xml:space="preserve">Cost</w:t>
            </w:r>
          </w:p>
        </w:tc>
        <w:tc>
          <w:p>
            <w:r>
              <w:t xml:space="preserve">You propose an open-weight Llama 3 70B fallback behind the same LLMClient interface. Have you actually tested that swap, or is it aspirational?</w:t>
            </w:r>
          </w:p>
        </w:tc>
      </w:tr>
      <w:tr>
        <w:tc>
          <w:p>
            <w:r>
              <w:t xml:space="preserve">23</w:t>
            </w:r>
          </w:p>
        </w:tc>
        <w:tc>
          <w:p>
            <w:r>
              <w:t xml:space="preserve">Deployment</w:t>
            </w:r>
          </w:p>
        </w:tc>
        <w:tc>
          <w:p>
            <w:r>
              <w:t xml:space="preserve">Render + Vercel + a managed Postgres with pgvector/PostGIS support — have you confirmed a specific provider actually supports both extensions together, or is that still an open question in your own document?</w:t>
            </w:r>
          </w:p>
        </w:tc>
      </w:tr>
      <w:tr>
        <w:tc>
          <w:p>
            <w:r>
              <w:t xml:space="preserve">24</w:t>
            </w:r>
          </w:p>
        </w:tc>
        <w:tc>
          <w:p>
            <w:r>
              <w:t xml:space="preserve">Deployment</w:t>
            </w:r>
          </w:p>
        </w:tc>
        <w:tc>
          <w:p>
            <w:r>
              <w:t xml:space="preserve">Your JWT access token lives in memory and refresh token in an httpOnly cookie. What's your CSRF protection story for the refresh endpoint?</w:t>
            </w:r>
          </w:p>
        </w:tc>
      </w:tr>
      <w:tr>
        <w:tc>
          <w:p>
            <w:r>
              <w:t xml:space="preserve">25</w:t>
            </w:r>
          </w:p>
        </w:tc>
        <w:tc>
          <w:p>
            <w:r>
              <w:t xml:space="preserve">Business</w:t>
            </w:r>
          </w:p>
        </w:tc>
        <w:tc>
          <w:p>
            <w:r>
              <w:t xml:space="preserve">A 67% schedule-overrun rate and $15B of committed capital is your market sizing. What's the actual willingness-to-pay evidence — have you spoken to a single EPC contractor or hyperscaler about this?</w:t>
            </w:r>
          </w:p>
        </w:tc>
      </w:tr>
      <w:tr>
        <w:tc>
          <w:p>
            <w:r>
              <w:t xml:space="preserve">26</w:t>
            </w:r>
          </w:p>
        </w:tc>
        <w:tc>
          <w:p>
            <w:r>
              <w:t xml:space="preserve">Business</w:t>
            </w:r>
          </w:p>
        </w:tc>
        <w:tc>
          <w:p>
            <w:r>
              <w:t xml:space="preserve">What's the switching cost story against incumbents like Procore, Autodesk Construction Cloud, or Oracle Aconex, all of which already have document and schedule modules?</w:t>
            </w:r>
          </w:p>
        </w:tc>
      </w:tr>
      <w:tr>
        <w:tc>
          <w:p>
            <w:r>
              <w:t xml:space="preserve">27</w:t>
            </w:r>
          </w:p>
        </w:tc>
        <w:tc>
          <w:p>
            <w:r>
              <w:t xml:space="preserve">Business</w:t>
            </w:r>
          </w:p>
        </w:tc>
        <w:tc>
          <w:p>
            <w:r>
              <w:t xml:space="preserve">Who owns liability when your Compliance Agent misses a critical deviation that reaches a Tier IV data centre build?</w:t>
            </w:r>
          </w:p>
        </w:tc>
      </w:tr>
      <w:tr>
        <w:tc>
          <w:p>
            <w:r>
              <w:t xml:space="preserve">28</w:t>
            </w:r>
          </w:p>
        </w:tc>
        <w:tc>
          <w:p>
            <w:r>
              <w:t xml:space="preserve">Implementation</w:t>
            </w:r>
          </w:p>
        </w:tc>
        <w:tc>
          <w:p>
            <w:r>
              <w:t xml:space="preserve">Which of your five modules is the one you'd cut first if Day 1 slips, and have you actually made that call before the clock starts?</w:t>
            </w:r>
          </w:p>
        </w:tc>
      </w:tr>
      <w:tr>
        <w:tc>
          <w:p>
            <w:r>
              <w:t xml:space="preserve">29</w:t>
            </w:r>
          </w:p>
        </w:tc>
        <w:tc>
          <w:p>
            <w:r>
              <w:t xml:space="preserve">Implementation</w:t>
            </w:r>
          </w:p>
        </w:tc>
        <w:tc>
          <w:p>
            <w:r>
              <w:t xml:space="preserve">Your commissioning module needs seeded TIA-942/BICSI/Uptime test templates. Who is writing those templates, and are they licensed content you're legally allowed to embed?</w:t>
            </w:r>
          </w:p>
        </w:tc>
      </w:tr>
      <w:tr>
        <w:tc>
          <w:p>
            <w:r>
              <w:t xml:space="preserve">30</w:t>
            </w:r>
          </w:p>
        </w:tc>
        <w:tc>
          <w:p>
            <w:r>
              <w:t xml:space="preserve">Evaluation</w:t>
            </w:r>
          </w:p>
        </w:tc>
        <w:tc>
          <w:p>
            <w:r>
              <w:t xml:space="preserve">Of everything in this document, which single metric will you show on stage as proof this works better than a human doing it manually — and do you have the number yet, or only the plan to get one?</w:t>
            </w:r>
          </w:p>
        </w:tc>
      </w:tr>
    </w:tbl>
    <w:p>
      <w:pPr>
        <w:pStyle w:val="Heading1"/>
        <w:spacing w:after="160" w:before="360"/>
      </w:pPr>
      <w:r>
        <w:t xml:space="preserve">12. Red Flags: Marketing Language vs. Engineering</w:t>
      </w:r>
    </w:p>
    <w:p>
      <w:pPr>
        <w:spacing w:after="120"/>
      </w:pPr>
      <w:r>
        <w:t xml:space="preserve">This document is unusually disciplined for a hackathon deliverable — it mostly avoids buzzword soup. The one recurring pattern worth calling out:</w:t>
      </w:r>
    </w:p>
    <w:p>
      <w:pPr>
        <w:pStyle w:val="ListParagraph"/>
        <w:numPr>
          <w:ilvl w:val="0"/>
          <w:numId w:val="2"/>
        </w:numPr>
        <w:spacing w:after="60"/>
      </w:pPr>
      <w:r>
        <w:rPr>
          <w:b/>
          <w:bCs/>
          <w:color w:val="C00000"/>
        </w:rPr>
        <w:t xml:space="preserve">"Agent" applied to five plain service classes: </w:t>
      </w:r>
      <w:r>
        <w:t xml:space="preserve">Replace with: "AI-assisted service module" or "LLM-backed comparison service," unless genuine autonomous planning/tool-use is implemented. This is the document's only real red flag, but it's a structural one that touches the entire pitch's framing, not a cosmetic word choice.</w:t>
      </w:r>
    </w:p>
    <w:p>
      <w:pPr>
        <w:spacing w:after="120"/>
      </w:pPr>
      <w:r>
        <w:t xml:space="preserve">Everything else — the phrasing around models, data, and deployment — is written in specific, falsifiable, engineering language rather than vague superlatives. Credit where due.</w:t>
      </w:r>
    </w:p>
    <w:p>
      <w:pPr>
        <w:pStyle w:val="Heading1"/>
        <w:spacing w:after="160" w:before="360"/>
      </w:pPr>
      <w:r>
        <w:t xml:space="preserve">13. Final Verdict</w:t>
      </w:r>
    </w:p>
    <w:p>
      <w:pPr>
        <w:spacing w:after="120"/>
      </w:pPr>
      <w:r>
        <w:rPr>
          <w:b/>
          <w:bCs/>
        </w:rPr>
        <w:t xml:space="preserve">Score recap: Innovation 12/25, Business Impact 16/25, Technical Excellence 12/20, Scalability 8/15, User Experience 10/15 — Total 58/100.</w:t>
      </w:r>
    </w:p>
    <w:p>
      <w:pPr>
        <w:spacing w:after="120"/>
      </w:pPr>
      <w:r>
        <w:t xml:space="preserve">This document describes a competent, above-average hackathon build plan with one genuinely strong idea (the dual LLM+rule-engine compliance check) sitting inside a scope that is roughly 2.5x too large for the stated 48-hour/4-developer constraint, branded with 'agentic AI' language the architecture doesn't actually implement, and missing the one suggested capability (computer vision on drawings) most likely to visually differentiate the demo on stage.</w:t>
      </w:r>
    </w:p>
    <w:p>
      <w:pPr>
        <w:pStyle w:val="Heading1"/>
        <w:spacing w:after="160" w:before="360"/>
      </w:pPr>
      <w:r>
        <w:t xml:space="preserve">14. Brutal Feedback</w:t>
      </w:r>
    </w:p>
    <w:p>
      <w:pPr>
        <w:pStyle w:val="Heading2"/>
        <w:spacing w:after="120" w:before="260"/>
      </w:pPr>
      <w:r>
        <w:t xml:space="preserve">Why this loses in the finals, as currently scoped</w:t>
      </w:r>
    </w:p>
    <w:p>
      <w:pPr>
        <w:pStyle w:val="ListParagraph"/>
        <w:numPr>
          <w:ilvl w:val="0"/>
          <w:numId w:val="3"/>
        </w:numPr>
        <w:spacing w:after="60"/>
      </w:pPr>
      <w:r>
        <w:t xml:space="preserve">The team will not finish the plan as written — three-plus modules will be stubs or broken on demo day, because the document's own timeline assumes 10 days and 5-6 people against a 48-hour, 4-person reality.</w:t>
      </w:r>
    </w:p>
    <w:p>
      <w:pPr>
        <w:pStyle w:val="ListParagraph"/>
        <w:numPr>
          <w:ilvl w:val="0"/>
          <w:numId w:val="3"/>
        </w:numPr>
        <w:spacing w:after="60"/>
      </w:pPr>
      <w:r>
        <w:t xml:space="preserve">The 'Agentic AI / Multi-Agent Systems' claim will not survive a single pointed technical question, and judges who evaluate that suggested technology explicitly will mark it as unsupported once they see the architecture diagram.</w:t>
      </w:r>
    </w:p>
    <w:p>
      <w:pPr>
        <w:pStyle w:val="ListParagraph"/>
        <w:numPr>
          <w:ilvl w:val="0"/>
          <w:numId w:val="3"/>
        </w:numPr>
        <w:spacing w:after="60"/>
      </w:pPr>
      <w:r>
        <w:t xml:space="preserve">No computer vision component means the demo has no visually distinctive moment — everything on screen is tables, chat, and a map, all of which every other RAG-plus-dashboard team will also show.</w:t>
      </w:r>
    </w:p>
    <w:p>
      <w:pPr>
        <w:pStyle w:val="ListParagraph"/>
        <w:numPr>
          <w:ilvl w:val="0"/>
          <w:numId w:val="3"/>
        </w:numPr>
        <w:spacing w:after="60"/>
      </w:pPr>
      <w:r>
        <w:t xml:space="preserve">Nothing in the document yet constitutes evidence — no reported eval numbers, no baseline comparison actually run, no demo video. Judges score what they see working, not what the document says will be built.</w:t>
      </w:r>
    </w:p>
    <w:p>
      <w:pPr>
        <w:pStyle w:val="Heading2"/>
        <w:spacing w:after="120" w:before="260"/>
      </w:pPr>
      <w:r>
        <w:t xml:space="preserve">Top 10 improvements for a winning solution</w:t>
      </w:r>
    </w:p>
    <w:p>
      <w:pPr>
        <w:pStyle w:val="ListParagraph"/>
        <w:numPr>
          <w:ilvl w:val="0"/>
          <w:numId w:val="3"/>
        </w:numPr>
        <w:spacing w:after="60"/>
      </w:pPr>
      <w:r>
        <w:t xml:space="preserve">Cut scope to what 4 developers can genuinely finish in 48 hours: pick 2 modules to build fully (Compliance + RFI Chat, since they share the ingestion pipeline) and demo the other 3 as clickable mockups with real architecture behind them, stated honestly as such.</w:t>
      </w:r>
    </w:p>
    <w:p>
      <w:pPr>
        <w:pStyle w:val="ListParagraph"/>
        <w:numPr>
          <w:ilvl w:val="0"/>
          <w:numId w:val="3"/>
        </w:numPr>
        <w:spacing w:after="60"/>
      </w:pPr>
      <w:r>
        <w:t xml:space="preserve">Stop calling service modules 'agents' unless you implement an actual planning/tool-use loop for at least one — e.g., let the Compliance Agent autonomously decide whether to re-check a submittal after a spec update, escalate to a human, or auto-resolve, with visible reasoning steps.</w:t>
      </w:r>
    </w:p>
    <w:p>
      <w:pPr>
        <w:pStyle w:val="ListParagraph"/>
        <w:numPr>
          <w:ilvl w:val="0"/>
          <w:numId w:val="3"/>
        </w:numPr>
        <w:spacing w:after="60"/>
      </w:pPr>
      <w:r>
        <w:t xml:space="preserve">Add a minimal computer-vision pass on at least one drawing type (e.g., flagging missing clearance dimensions on a P&amp;ID excerpt) — this is the single highest-leverage addition for stage-visible differentiation.</w:t>
      </w:r>
    </w:p>
    <w:p>
      <w:pPr>
        <w:pStyle w:val="ListParagraph"/>
        <w:numPr>
          <w:ilvl w:val="0"/>
          <w:numId w:val="3"/>
        </w:numPr>
        <w:spacing w:after="60"/>
      </w:pPr>
      <w:r>
        <w:t xml:space="preserve">Run the compliance eval set before the demo and bring the actual precision/recall numbers, not the plan to produce them.</w:t>
      </w:r>
    </w:p>
    <w:p>
      <w:pPr>
        <w:pStyle w:val="ListParagraph"/>
        <w:numPr>
          <w:ilvl w:val="0"/>
          <w:numId w:val="3"/>
        </w:numPr>
        <w:spacing w:after="60"/>
      </w:pPr>
      <w:r>
        <w:t xml:space="preserve">Run the LightGBM model against the stated naive baseline and bring the actual AUC/MAE delta — 'we compared against a baseline' is not evidence until the numbers exist.</w:t>
      </w:r>
    </w:p>
    <w:p>
      <w:pPr>
        <w:pStyle w:val="ListParagraph"/>
        <w:numPr>
          <w:ilvl w:val="0"/>
          <w:numId w:val="3"/>
        </w:numPr>
        <w:spacing w:after="60"/>
      </w:pPr>
      <w:r>
        <w:t xml:space="preserve">Add hybrid retrieval (keyword + vector) for spec clauses, since exact clause numbers and units are exactly what pure dense retrieval misses most.</w:t>
      </w:r>
    </w:p>
    <w:p>
      <w:pPr>
        <w:pStyle w:val="ListParagraph"/>
        <w:numPr>
          <w:ilvl w:val="0"/>
          <w:numId w:val="3"/>
        </w:numPr>
        <w:spacing w:after="60"/>
      </w:pPr>
      <w:r>
        <w:t xml:space="preserve">Replace project_id-filter-by-convention with actual row-level security in Postgres, and demonstrate a negative test (cross-project leakage attempt that correctly fails).</w:t>
      </w:r>
    </w:p>
    <w:p>
      <w:pPr>
        <w:pStyle w:val="ListParagraph"/>
        <w:numPr>
          <w:ilvl w:val="0"/>
          <w:numId w:val="3"/>
        </w:numPr>
        <w:spacing w:after="60"/>
      </w:pPr>
      <w:r>
        <w:t xml:space="preserve">Quantify one ROI number end-to-end — e.g., hours saved per RFI, or estimated schedule days recovered per flagged risk — and put it on the first slide, not buried in prose.</w:t>
      </w:r>
    </w:p>
    <w:p>
      <w:pPr>
        <w:pStyle w:val="ListParagraph"/>
        <w:numPr>
          <w:ilvl w:val="0"/>
          <w:numId w:val="3"/>
        </w:numPr>
        <w:spacing w:after="60"/>
      </w:pPr>
      <w:r>
        <w:t xml:space="preserve">Add a one-paragraph competitive positioning against Procore/Autodesk/Aconex — judges doing technical due diligence will ask this regardless.</w:t>
      </w:r>
    </w:p>
    <w:p>
      <w:pPr>
        <w:pStyle w:val="ListParagraph"/>
        <w:numPr>
          <w:ilvl w:val="0"/>
          <w:numId w:val="3"/>
        </w:numPr>
        <w:spacing w:after="60"/>
      </w:pPr>
      <w:r>
        <w:t xml:space="preserve">Pre-record a fallback demo video segment for the LLM-dependent flows (compliance check, RFI chat) in case the live API call is slow or rate-limited on stage — the document itself flags LLM latency as 5-15 seconds, which is a real live-demo risk.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2026-07-12T10:08:28.325Z</dcterms:created>
  <dcterms:modified xsi:type="dcterms:W3CDTF">2026-07-12T10:08:28.340Z</dcterms:modified>
</cp:coreProperties>
</file>

<file path=docProps/custom.xml><?xml version="1.0" encoding="utf-8"?>
<Properties xmlns="http://schemas.openxmlformats.org/officeDocument/2006/custom-properties" xmlns:vt="http://schemas.openxmlformats.org/officeDocument/2006/docPropsVTypes"/>
</file>