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Procedures</w:t>
      </w:r>
    </w:p>
    <w:p>
      <w:r>
        <w:rPr>
          <w:b/>
        </w:rPr>
        <w:t>AptoHire | Early-stage company operating manual</w:t>
      </w:r>
    </w:p>
    <w:p>
      <w:r>
        <w:t>Purpose: define repeatable, accountable ways of working for product development, customer discovery, data protection, support, and finance. This is a proposed baseline for a small team; adapt it to actual staffing, legal advice, contracts, and implemented systems before adopting as formal policy.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Founder / Operations Lead — name to be assigned</w:t>
            </w:r>
          </w:p>
        </w:tc>
      </w:tr>
      <w:tr>
        <w:tc>
          <w:tcPr>
            <w:tcW w:type="dxa" w:w="4968"/>
          </w:tcPr>
          <w:p>
            <w:r>
              <w:t>Version / effective date</w:t>
            </w:r>
          </w:p>
        </w:tc>
        <w:tc>
          <w:tcPr>
            <w:tcW w:type="dxa" w:w="4968"/>
          </w:tcPr>
          <w:p>
            <w:r>
              <w:t>v1.0 / 30 October 2026 — proposed, not yet formally approved</w:t>
            </w:r>
          </w:p>
        </w:tc>
      </w:tr>
      <w:tr>
        <w:tc>
          <w:tcPr>
            <w:tcW w:type="dxa" w:w="4968"/>
          </w:tcPr>
          <w:p>
            <w:r>
              <w:t>Review cadence</w:t>
            </w:r>
          </w:p>
        </w:tc>
        <w:tc>
          <w:tcPr>
            <w:tcW w:type="dxa" w:w="4968"/>
          </w:tcPr>
          <w:p>
            <w:r>
              <w:t>Monthly during early stage; quarterly after workflows stabilise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Founder approval required before formal adoption</w:t>
            </w:r>
          </w:p>
        </w:tc>
      </w:tr>
      <w:tr>
        <w:tc>
          <w:tcPr>
            <w:tcW w:type="dxa" w:w="4968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Product, engineering, customer discovery, onboarding, support, data handling, finance and incident response</w:t>
            </w:r>
          </w:p>
        </w:tc>
      </w:tr>
    </w:tbl>
    <w:p>
      <w:pPr>
        <w:pStyle w:val="Heading1"/>
      </w:pPr>
      <w:r>
        <w:t>Operating principles</w:t>
      </w:r>
    </w:p>
    <w:p>
      <w:pPr>
        <w:pStyle w:val="ListBullet"/>
      </w:pPr>
      <w:r>
        <w:t>Evidence over assumptions: distinguish verified product behaviour, user feedback, hypotheses and plans.</w:t>
      </w:r>
    </w:p>
    <w:p>
      <w:pPr>
        <w:pStyle w:val="ListBullet"/>
      </w:pPr>
      <w:r>
        <w:t>Privacy by default: collect the minimum data needed, document purpose and access, and honour candidate consent choices.</w:t>
      </w:r>
    </w:p>
    <w:p>
      <w:pPr>
        <w:pStyle w:val="ListBullet"/>
      </w:pPr>
      <w:r>
        <w:t>Least privilege: grant access by role, use MFA for privileged accounts, and review access regularly.</w:t>
      </w:r>
    </w:p>
    <w:p>
      <w:pPr>
        <w:pStyle w:val="ListBullet"/>
      </w:pPr>
      <w:r>
        <w:t>Traceability: important product, security, customer and financial decisions should have an owner and written record.</w:t>
      </w:r>
    </w:p>
    <w:p>
      <w:pPr>
        <w:pStyle w:val="ListBullet"/>
      </w:pPr>
      <w:r>
        <w:t>Small batches: ship narrow changes, test them, monitor results and roll back safely when needed.</w:t>
      </w:r>
    </w:p>
    <w:p>
      <w:pPr>
        <w:pStyle w:val="ListBullet"/>
      </w:pPr>
      <w:r>
        <w:t>No unsupported claims: do not promise integrations, verification, outcomes, security certifications or production readiness unless verified.</w:t>
      </w:r>
    </w:p>
    <w:p>
      <w:pPr>
        <w:pStyle w:val="Heading1"/>
      </w:pPr>
      <w:r>
        <w:t>SOP 01 — Daily / Weekly Operating Rhythm</w:t>
      </w:r>
    </w:p>
    <w:p>
      <w:r>
        <w:t>Purpose: Keep priorities, blockers, decisions and outcomes visible without creating heavy process.</w:t>
      </w:r>
    </w:p>
    <w:p>
      <w:r>
        <w:t>Accountable owner: Founder / Operations Lead</w:t>
      </w:r>
    </w:p>
    <w:p>
      <w:pPr>
        <w:pStyle w:val="Heading2"/>
      </w:pPr>
      <w:r>
        <w:t>When to use</w:t>
      </w:r>
    </w:p>
    <w:p>
      <w:r>
        <w:t>Every working day and at weekly planning / review.</w:t>
      </w:r>
    </w:p>
    <w:p>
      <w:pPr>
        <w:pStyle w:val="Heading2"/>
      </w:pPr>
      <w:r>
        <w:t>Procedure</w:t>
      </w:r>
    </w:p>
    <w:p>
      <w:pPr>
        <w:pStyle w:val="ListNumber"/>
      </w:pPr>
      <w:r>
        <w:t>At start of day, review the single source of truth for tasks; select no more than three priority outcomes.</w:t>
      </w:r>
    </w:p>
    <w:p>
      <w:pPr>
        <w:pStyle w:val="ListNumber"/>
      </w:pPr>
      <w:r>
        <w:t>Each task must have an owner, expected result, priority and due date; mark blockers explicitly.</w:t>
      </w:r>
    </w:p>
    <w:p>
      <w:pPr>
        <w:pStyle w:val="ListNumber"/>
      </w:pPr>
      <w:r>
        <w:t>Use a short async check-in: completed, next, blocked. Avoid reporting activity without outcomes.</w:t>
      </w:r>
    </w:p>
    <w:p>
      <w:pPr>
        <w:pStyle w:val="ListNumber"/>
      </w:pPr>
      <w:r>
        <w:t>Once a week, review product delivery, customer discovery, risks, cash, and the next week's priorities.</w:t>
      </w:r>
    </w:p>
    <w:p>
      <w:pPr>
        <w:pStyle w:val="ListNumber"/>
      </w:pPr>
      <w:r>
        <w:t>Record decisions with date, owner, context, options considered and follow-up actions.</w:t>
      </w:r>
    </w:p>
    <w:p>
      <w:pPr>
        <w:pStyle w:val="Heading2"/>
      </w:pPr>
      <w:r>
        <w:t>Required records</w:t>
      </w:r>
    </w:p>
    <w:p>
      <w:r>
        <w:t>Task board, weekly decision log, risk / blocker list and weekly review notes.</w:t>
      </w:r>
    </w:p>
    <w:p>
      <w:pPr>
        <w:pStyle w:val="Heading2"/>
      </w:pPr>
      <w:r>
        <w:t>Escalation / stop conditions</w:t>
      </w:r>
    </w:p>
    <w:p>
      <w:r>
        <w:t>Escalate a blocker that threatens a committed date, privacy/security, customer trust or cash runway immediately; do not hide it until the weekly review.</w:t>
      </w:r>
    </w:p>
    <w:p>
      <w:pPr>
        <w:pStyle w:val="Heading1"/>
      </w:pPr>
      <w:r>
        <w:t>SOP 02 — Customer Discovery &amp; Interview Handling</w:t>
      </w:r>
    </w:p>
    <w:p>
      <w:r>
        <w:t>Purpose: Collect unbiased evidence from students, university teams and employers.</w:t>
      </w:r>
    </w:p>
    <w:p>
      <w:r>
        <w:t>Accountable owner: Founder / Customer Discovery Lead</w:t>
      </w:r>
    </w:p>
    <w:p>
      <w:pPr>
        <w:pStyle w:val="Heading2"/>
      </w:pPr>
      <w:r>
        <w:t>When to use</w:t>
      </w:r>
    </w:p>
    <w:p>
      <w:r>
        <w:t>Before and after every interview, survey review or design-partner discussion.</w:t>
      </w:r>
    </w:p>
    <w:p>
      <w:pPr>
        <w:pStyle w:val="Heading2"/>
      </w:pPr>
      <w:r>
        <w:t>Procedure</w:t>
      </w:r>
    </w:p>
    <w:p>
      <w:pPr>
        <w:pStyle w:val="ListNumber"/>
      </w:pPr>
      <w:r>
        <w:t>Define the hypothesis and decision the research will inform before recruiting participants.</w:t>
      </w:r>
    </w:p>
    <w:p>
      <w:pPr>
        <w:pStyle w:val="ListNumber"/>
      </w:pPr>
      <w:r>
        <w:t>Explain purpose, voluntary participation, intended use of notes and whether recording is requested; obtain consent before recording.</w:t>
      </w:r>
    </w:p>
    <w:p>
      <w:pPr>
        <w:pStyle w:val="ListNumber"/>
      </w:pPr>
      <w:r>
        <w:t>Ask about recent behaviour and existing workarounds before describing AptoHire. Avoid leading or selling questions.</w:t>
      </w:r>
    </w:p>
    <w:p>
      <w:pPr>
        <w:pStyle w:val="ListNumber"/>
      </w:pPr>
      <w:r>
        <w:t>Capture exact observations separately from interpretation; label quotes with permission and avoid unnecessary personal data.</w:t>
      </w:r>
    </w:p>
    <w:p>
      <w:pPr>
        <w:pStyle w:val="ListNumber"/>
      </w:pPr>
      <w:r>
        <w:t>After each interview, summarise pains, current alternatives, frequency, impact, budget authority and objections.</w:t>
      </w:r>
    </w:p>
    <w:p>
      <w:pPr>
        <w:pStyle w:val="ListNumber"/>
      </w:pPr>
      <w:r>
        <w:t>Review patterns across participants; do not treat a single anecdote or an unexported form link as validated demand.</w:t>
      </w:r>
    </w:p>
    <w:p>
      <w:pPr>
        <w:pStyle w:val="ListNumber"/>
      </w:pPr>
      <w:r>
        <w:t>Close the loop with participants where promised and record any request to withdraw or delete their research data.</w:t>
      </w:r>
    </w:p>
    <w:p>
      <w:pPr>
        <w:pStyle w:val="Heading2"/>
      </w:pPr>
      <w:r>
        <w:t>Required records</w:t>
      </w:r>
    </w:p>
    <w:p>
      <w:r>
        <w:t>Interview guide, consent status, anonymised notes, evidence log, follow-up owner and date.</w:t>
      </w:r>
    </w:p>
    <w:p>
      <w:pPr>
        <w:pStyle w:val="Heading2"/>
      </w:pPr>
      <w:r>
        <w:t>Escalation / stop conditions</w:t>
      </w:r>
    </w:p>
    <w:p>
      <w:r>
        <w:t>Stop collection if consent is unclear, sensitive information is unnecessary, or a participant asks to stop. Escalate privacy requests to the designated owner.</w:t>
      </w:r>
    </w:p>
    <w:p>
      <w:pPr>
        <w:pStyle w:val="Heading1"/>
      </w:pPr>
      <w:r>
        <w:t>SOP 03 — Product Change &amp; Release</w:t>
      </w:r>
    </w:p>
    <w:p>
      <w:r>
        <w:t>Purpose: Ship tested, reviewable changes with a safe rollback path.</w:t>
      </w:r>
    </w:p>
    <w:p>
      <w:r>
        <w:t>Accountable owner: Engineering Lead / designated maintainer</w:t>
      </w:r>
    </w:p>
    <w:p>
      <w:pPr>
        <w:pStyle w:val="Heading2"/>
      </w:pPr>
      <w:r>
        <w:t>When to use</w:t>
      </w:r>
    </w:p>
    <w:p>
      <w:r>
        <w:t>For every change to code, schema, permissions, AI workflow, integration or production configuration.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ticket describing the user problem, acceptance criteria, affected portal and risk level.</w:t>
      </w:r>
    </w:p>
    <w:p>
      <w:pPr>
        <w:pStyle w:val="ListNumber"/>
      </w:pPr>
      <w:r>
        <w:t>Check API/database contracts before implementation; breaking changes require a versioned migration plan and approval.</w:t>
      </w:r>
    </w:p>
    <w:p>
      <w:pPr>
        <w:pStyle w:val="ListNumber"/>
      </w:pPr>
      <w:r>
        <w:t>Use source control and a reviewable branch; do not place secrets or production data in source code or public issues.</w:t>
      </w:r>
    </w:p>
    <w:p>
      <w:pPr>
        <w:pStyle w:val="ListNumber"/>
      </w:pPr>
      <w:r>
        <w:t>Test expected behaviour, validation, failure states, authorization boundaries and relevant regression paths.</w:t>
      </w:r>
    </w:p>
    <w:p>
      <w:pPr>
        <w:pStyle w:val="ListNumber"/>
      </w:pPr>
      <w:r>
        <w:t>Review database migrations for reversibility, data loss and access-policy effects; back up where appropriate.</w:t>
      </w:r>
    </w:p>
    <w:p>
      <w:pPr>
        <w:pStyle w:val="ListNumber"/>
      </w:pPr>
      <w:r>
        <w:t>Deploy to a test/staging environment first when available; use a small release and verify key flows after deployment.</w:t>
      </w:r>
    </w:p>
    <w:p>
      <w:pPr>
        <w:pStyle w:val="ListNumber"/>
      </w:pPr>
      <w:r>
        <w:t>Record release notes, known issues, monitoring owner and rollback steps.</w:t>
      </w:r>
    </w:p>
    <w:p>
      <w:pPr>
        <w:pStyle w:val="Heading2"/>
      </w:pPr>
      <w:r>
        <w:t>Required records</w:t>
      </w:r>
    </w:p>
    <w:p>
      <w:r>
        <w:t>Ticket, code review, test evidence, migration notes, release record and rollback plan.</w:t>
      </w:r>
    </w:p>
    <w:p>
      <w:pPr>
        <w:pStyle w:val="Heading2"/>
      </w:pPr>
      <w:r>
        <w:t>Escalation / stop conditions</w:t>
      </w:r>
    </w:p>
    <w:p>
      <w:r>
        <w:t>Block release if access control, consent, data isolation, secrets handling or critical tests fail. Roll back or disable the change if user data or core workflows are at risk.</w:t>
      </w:r>
    </w:p>
    <w:p>
      <w:pPr>
        <w:pStyle w:val="Heading1"/>
      </w:pPr>
      <w:r>
        <w:t>SOP 04 — Data Access, Privacy &amp; Security</w:t>
      </w:r>
    </w:p>
    <w:p>
      <w:r>
        <w:t>Purpose: Reduce risk to student identity, project evidence, university records and account data.</w:t>
      </w:r>
    </w:p>
    <w:p>
      <w:r>
        <w:t>Accountable owner: Security / Privacy Owner — must be assigned</w:t>
      </w:r>
    </w:p>
    <w:p>
      <w:pPr>
        <w:pStyle w:val="Heading2"/>
      </w:pPr>
      <w:r>
        <w:t>When to use</w:t>
      </w:r>
    </w:p>
    <w:p>
      <w:r>
        <w:t>At onboarding, access changes, new data collection, vendor integrations, suspected incidents and offboarding.</w:t>
      </w:r>
    </w:p>
    <w:p>
      <w:pPr>
        <w:pStyle w:val="Heading2"/>
      </w:pPr>
      <w:r>
        <w:t>Procedure</w:t>
      </w:r>
    </w:p>
    <w:p>
      <w:pPr>
        <w:pStyle w:val="ListNumber"/>
      </w:pPr>
      <w:r>
        <w:t>Document each data category, purpose, lawful basis/consent where applicable, retention period and authorized roles.</w:t>
      </w:r>
    </w:p>
    <w:p>
      <w:pPr>
        <w:pStyle w:val="ListNumber"/>
      </w:pPr>
      <w:r>
        <w:t>Collect only fields needed for the defined product workflow; do not use real student data in development unless approved and protected.</w:t>
      </w:r>
    </w:p>
    <w:p>
      <w:pPr>
        <w:pStyle w:val="ListNumber"/>
      </w:pPr>
      <w:r>
        <w:t>Require MFA for privileged/admin access; use unique accounts and least-privilege permissions.</w:t>
      </w:r>
    </w:p>
    <w:p>
      <w:pPr>
        <w:pStyle w:val="ListNumber"/>
      </w:pPr>
      <w:r>
        <w:t>Store secrets in an approved secret manager or environment configuration, never in client-side bundles or repositories.</w:t>
      </w:r>
    </w:p>
    <w:p>
      <w:pPr>
        <w:pStyle w:val="ListNumber"/>
      </w:pPr>
      <w:r>
        <w:t>Review database row-level security and server-side authorization for every sensitive table and action.</w:t>
      </w:r>
    </w:p>
    <w:p>
      <w:pPr>
        <w:pStyle w:val="ListNumber"/>
      </w:pPr>
      <w:r>
        <w:t>Review vendors and data transfers before connecting production data; confirm access, retention, subprocessors and deletion controls.</w:t>
      </w:r>
    </w:p>
    <w:p>
      <w:pPr>
        <w:pStyle w:val="ListNumber"/>
      </w:pPr>
      <w:r>
        <w:t>On offboarding, revoke access promptly, transfer ownership and rotate shared credentials if any were exposed.</w:t>
      </w:r>
    </w:p>
    <w:p>
      <w:pPr>
        <w:pStyle w:val="ListNumber"/>
      </w:pPr>
      <w:r>
        <w:t>Review access logs and permissions periodically; record exceptions and expiry dates.</w:t>
      </w:r>
    </w:p>
    <w:p>
      <w:pPr>
        <w:pStyle w:val="Heading2"/>
      </w:pPr>
      <w:r>
        <w:t>Required records</w:t>
      </w:r>
    </w:p>
    <w:p>
      <w:r>
        <w:t>Data inventory, access register, vendor register, retention/deletion log, security review checklist.</w:t>
      </w:r>
    </w:p>
    <w:p>
      <w:pPr>
        <w:pStyle w:val="Heading2"/>
      </w:pPr>
      <w:r>
        <w:t>Escalation / stop conditions</w:t>
      </w:r>
    </w:p>
    <w:p>
      <w:r>
        <w:t>Immediately restrict access and notify the incident owner if unauthorized disclosure, account compromise, exposed secrets or cross-tenant access is suspected. Follow applicable law and contractual notification duties.</w:t>
      </w:r>
    </w:p>
    <w:p>
      <w:pPr>
        <w:pStyle w:val="Heading1"/>
      </w:pPr>
      <w:r>
        <w:t>SOP 05 — Customer / University Onboarding</w:t>
      </w:r>
    </w:p>
    <w:p>
      <w:r>
        <w:t>Purpose: Launch a pilot with agreed scope, responsibilities, safeguards and success criteria.</w:t>
      </w:r>
    </w:p>
    <w:p>
      <w:r>
        <w:t>Accountable owner: Customer Success / Founder</w:t>
      </w:r>
    </w:p>
    <w:p>
      <w:pPr>
        <w:pStyle w:val="Heading2"/>
      </w:pPr>
      <w:r>
        <w:t>When to use</w:t>
      </w:r>
    </w:p>
    <w:p>
      <w:r>
        <w:t>Before granting a university or partner access.</w:t>
      </w:r>
    </w:p>
    <w:p>
      <w:pPr>
        <w:pStyle w:val="Heading2"/>
      </w:pPr>
      <w:r>
        <w:t>Procedure</w:t>
      </w:r>
    </w:p>
    <w:p>
      <w:pPr>
        <w:pStyle w:val="ListNumber"/>
      </w:pPr>
      <w:r>
        <w:t>Confirm the institution's sponsor, operational contact, target users, workflow and decision process.</w:t>
      </w:r>
    </w:p>
    <w:p>
      <w:pPr>
        <w:pStyle w:val="ListNumber"/>
      </w:pPr>
      <w:r>
        <w:t>Write a pilot brief covering scope, exclusions, dates, roles, support, data handled, retention, success measures and exit/deletion plan.</w:t>
      </w:r>
    </w:p>
    <w:p>
      <w:pPr>
        <w:pStyle w:val="ListNumber"/>
      </w:pPr>
      <w:r>
        <w:t>Agree who can invite users, view profiles, access analytics and approve identity disclosure; test role boundaries.</w:t>
      </w:r>
    </w:p>
    <w:p>
      <w:pPr>
        <w:pStyle w:val="ListNumber"/>
      </w:pPr>
      <w:r>
        <w:t>Use synthetic or minimum necessary data for setup; do not import bulk personal data without approved purpose and safeguards.</w:t>
      </w:r>
    </w:p>
    <w:p>
      <w:pPr>
        <w:pStyle w:val="ListNumber"/>
      </w:pPr>
      <w:r>
        <w:t>Run a short orientation and provide support channel, known limitations and escalation contact.</w:t>
      </w:r>
    </w:p>
    <w:p>
      <w:pPr>
        <w:pStyle w:val="ListNumber"/>
      </w:pPr>
      <w:r>
        <w:t>Review usage and feedback at agreed checkpoints; document outcomes and decide continue, change, convert or close.</w:t>
      </w:r>
    </w:p>
    <w:p>
      <w:pPr>
        <w:pStyle w:val="ListNumber"/>
      </w:pPr>
      <w:r>
        <w:t>At close, export only contractually permitted records, revoke access and execute agreed retention/deletion steps.</w:t>
      </w:r>
    </w:p>
    <w:p>
      <w:pPr>
        <w:pStyle w:val="Heading2"/>
      </w:pPr>
      <w:r>
        <w:t>Required records</w:t>
      </w:r>
    </w:p>
    <w:p>
      <w:r>
        <w:t>Signed/approved pilot brief, contact list, access list, training completion, issue log and outcome review.</w:t>
      </w:r>
    </w:p>
    <w:p>
      <w:pPr>
        <w:pStyle w:val="Heading2"/>
      </w:pPr>
      <w:r>
        <w:t>Escalation / stop conditions</w:t>
      </w:r>
    </w:p>
    <w:p>
      <w:r>
        <w:t>Pause onboarding if the institution's authority, data permissions, scope, security expectations or consent model is unclear.</w:t>
      </w:r>
    </w:p>
    <w:p>
      <w:pPr>
        <w:pStyle w:val="Heading1"/>
      </w:pPr>
      <w:r>
        <w:t>SOP 06 — Support &amp; Incident Management</w:t>
      </w:r>
    </w:p>
    <w:p>
      <w:r>
        <w:t>Purpose: Resolve user issues consistently and manage security/privacy incidents quickly.</w:t>
      </w:r>
    </w:p>
    <w:p>
      <w:r>
        <w:t>Accountable owner: Support Owner; Security / Privacy Owner for incidents</w:t>
      </w:r>
    </w:p>
    <w:p>
      <w:pPr>
        <w:pStyle w:val="Heading2"/>
      </w:pPr>
      <w:r>
        <w:t>When to use</w:t>
      </w:r>
    </w:p>
    <w:p>
      <w:r>
        <w:t>When a user reports a defect, access issue, data concern, outage or suspected misuse.</w:t>
      </w:r>
    </w:p>
    <w:p>
      <w:pPr>
        <w:pStyle w:val="Heading2"/>
      </w:pPr>
      <w:r>
        <w:t>Procedure</w:t>
      </w:r>
    </w:p>
    <w:p>
      <w:pPr>
        <w:pStyle w:val="ListNumber"/>
      </w:pPr>
      <w:r>
        <w:t>Log time, affected workflow, impact, environment, steps to reproduce and user contact channel; avoid copying unnecessary personal data.</w:t>
      </w:r>
    </w:p>
    <w:p>
      <w:pPr>
        <w:pStyle w:val="ListNumber"/>
      </w:pPr>
      <w:r>
        <w:t>Classify severity: P1 critical security/privacy or widespread outage; P2 core workflow blocked; P3 limited defect; P4 question or cosmetic issue.</w:t>
      </w:r>
    </w:p>
    <w:p>
      <w:pPr>
        <w:pStyle w:val="ListNumber"/>
      </w:pPr>
      <w:r>
        <w:t>Acknowledge P1 immediately and notify the incident owner; acknowledge other reports within one business day where practical.</w:t>
      </w:r>
    </w:p>
    <w:p>
      <w:pPr>
        <w:pStyle w:val="ListNumber"/>
      </w:pPr>
      <w:r>
        <w:t>For suspected security/privacy incidents, preserve relevant logs, limit access and avoid destructive troubleshooting.</w:t>
      </w:r>
    </w:p>
    <w:p>
      <w:pPr>
        <w:pStyle w:val="ListNumber"/>
      </w:pPr>
      <w:r>
        <w:t>Assign one incident lead; record timeline, decisions, mitigations, user impact and communication owner.</w:t>
      </w:r>
    </w:p>
    <w:p>
      <w:pPr>
        <w:pStyle w:val="ListNumber"/>
      </w:pPr>
      <w:r>
        <w:t>Restore service safely, validate the fix and monitor recurrence.</w:t>
      </w:r>
    </w:p>
    <w:p>
      <w:pPr>
        <w:pStyle w:val="ListNumber"/>
      </w:pPr>
      <w:r>
        <w:t>Complete a blameless post-incident review for P1/P2 issues, with root causes, action owners and due dates.</w:t>
      </w:r>
    </w:p>
    <w:p>
      <w:pPr>
        <w:pStyle w:val="Heading2"/>
      </w:pPr>
      <w:r>
        <w:t>Required records</w:t>
      </w:r>
    </w:p>
    <w:p>
      <w:r>
        <w:t>Ticket, severity, timestamps, evidence, incident timeline, communications and post-incident actions.</w:t>
      </w:r>
    </w:p>
    <w:p>
      <w:pPr>
        <w:pStyle w:val="Heading2"/>
      </w:pPr>
      <w:r>
        <w:t>Escalation / stop conditions</w:t>
      </w:r>
    </w:p>
    <w:p>
      <w:r>
        <w:t>Never promise a legal notification deadline without confirming applicable law and contract. Escalate immediately to qualified counsel where required.</w:t>
      </w:r>
    </w:p>
    <w:p>
      <w:pPr>
        <w:pStyle w:val="Heading1"/>
      </w:pPr>
      <w:r>
        <w:t>SOP 07 — Finance, Expenses &amp; Cash Runway</w:t>
      </w:r>
    </w:p>
    <w:p>
      <w:r>
        <w:t>Purpose: Maintain reliable records and detect cash risk early.</w:t>
      </w:r>
    </w:p>
    <w:p>
      <w:r>
        <w:t>Accountable owner: Founder / Finance Owner</w:t>
      </w:r>
    </w:p>
    <w:p>
      <w:pPr>
        <w:pStyle w:val="Heading2"/>
      </w:pPr>
      <w:r>
        <w:t>When to use</w:t>
      </w:r>
    </w:p>
    <w:p>
      <w:r>
        <w:t>For each payment, expense, invoice, contract, payroll obligation and monthly close.</w:t>
      </w:r>
    </w:p>
    <w:p>
      <w:pPr>
        <w:pStyle w:val="Heading2"/>
      </w:pPr>
      <w:r>
        <w:t>Procedure</w:t>
      </w:r>
    </w:p>
    <w:p>
      <w:pPr>
        <w:pStyle w:val="ListNumber"/>
      </w:pPr>
      <w:r>
        <w:t>Maintain a central ledger of invoices, receipts, contracts, taxes and payment status.</w:t>
      </w:r>
    </w:p>
    <w:p>
      <w:pPr>
        <w:pStyle w:val="ListNumber"/>
      </w:pPr>
      <w:r>
        <w:t>Set an expense approval threshold and approver before spending; separate requester and approver where staffing allows.</w:t>
      </w:r>
    </w:p>
    <w:p>
      <w:pPr>
        <w:pStyle w:val="ListNumber"/>
      </w:pPr>
      <w:r>
        <w:t>Reconcile bank/payment records with the ledger monthly and investigate discrepancies.</w:t>
      </w:r>
    </w:p>
    <w:p>
      <w:pPr>
        <w:pStyle w:val="ListNumber"/>
      </w:pPr>
      <w:r>
        <w:t>Update actual cash balance, monthly cash outflow, incoming cash, receivables, payables and committed costs.</w:t>
      </w:r>
    </w:p>
    <w:p>
      <w:pPr>
        <w:pStyle w:val="ListNumber"/>
      </w:pPr>
      <w:r>
        <w:t>Review base, downside and upside cash scenarios; record assumptions and dates for expected collections.</w:t>
      </w:r>
    </w:p>
    <w:p>
      <w:pPr>
        <w:pStyle w:val="ListNumber"/>
      </w:pPr>
      <w:r>
        <w:t>Calculate net burn from cash operating outflows less operating cash inflows and review runway monthly.</w:t>
      </w:r>
    </w:p>
    <w:p>
      <w:pPr>
        <w:pStyle w:val="ListNumber"/>
      </w:pPr>
      <w:r>
        <w:t>Engage a qualified accountant for tax, payroll, statutory filings, capitalization and investor reporting.</w:t>
      </w:r>
    </w:p>
    <w:p>
      <w:pPr>
        <w:pStyle w:val="Heading2"/>
      </w:pPr>
      <w:r>
        <w:t>Required records</w:t>
      </w:r>
    </w:p>
    <w:p>
      <w:r>
        <w:t>Expense register, invoices, receipts, ledger, bank reconciliation, monthly cash forecast and approval log.</w:t>
      </w:r>
    </w:p>
    <w:p>
      <w:pPr>
        <w:pStyle w:val="Heading2"/>
      </w:pPr>
      <w:r>
        <w:t>Escalation / stop conditions</w:t>
      </w:r>
    </w:p>
    <w:p>
      <w:r>
        <w:t>Escalate missed payroll/tax obligations, unexpected cash shortfalls, suspected fraud or runway below the founder-approved threshold.</w:t>
      </w:r>
    </w:p>
    <w:p>
      <w:pPr>
        <w:pStyle w:val="Heading1"/>
      </w:pPr>
      <w:r>
        <w:t>SOP 08 — AI / Automation Workflow Governance</w:t>
      </w:r>
    </w:p>
    <w:p>
      <w:r>
        <w:t>Purpose: Use AI and automation without exposing confidential data or trusting unreviewed outputs.</w:t>
      </w:r>
    </w:p>
    <w:p>
      <w:r>
        <w:t>Accountable owner: Product / Engineering Owner</w:t>
      </w:r>
    </w:p>
    <w:p>
      <w:pPr>
        <w:pStyle w:val="Heading2"/>
      </w:pPr>
      <w:r>
        <w:t>When to use</w:t>
      </w:r>
    </w:p>
    <w:p>
      <w:r>
        <w:t>For each new model, prompt, agent, automation, external API or material prompt change.</w:t>
      </w:r>
    </w:p>
    <w:p>
      <w:pPr>
        <w:pStyle w:val="Heading2"/>
      </w:pPr>
      <w:r>
        <w:t>Procedure</w:t>
      </w:r>
    </w:p>
    <w:p>
      <w:pPr>
        <w:pStyle w:val="ListNumber"/>
      </w:pPr>
      <w:r>
        <w:t>Document purpose, input data, output, user impact, model/provider, cost limits, fallback and human-review requirement.</w:t>
      </w:r>
    </w:p>
    <w:p>
      <w:pPr>
        <w:pStyle w:val="ListNumber"/>
      </w:pPr>
      <w:r>
        <w:t>Do not send personal, confidential or regulated data to a provider until data terms and approvals are reviewed.</w:t>
      </w:r>
    </w:p>
    <w:p>
      <w:pPr>
        <w:pStyle w:val="ListNumber"/>
      </w:pPr>
      <w:r>
        <w:t>Test normal, edge, adversarial and failure cases; assess hallucination, bias, prompt injection and data leakage relevant to the workflow.</w:t>
      </w:r>
    </w:p>
    <w:p>
      <w:pPr>
        <w:pStyle w:val="ListNumber"/>
      </w:pPr>
      <w:r>
        <w:t>Keep credentials server-side; set rate limits, budget alerts, timeouts and safe failure behaviour.</w:t>
      </w:r>
    </w:p>
    <w:p>
      <w:pPr>
        <w:pStyle w:val="ListNumber"/>
      </w:pPr>
      <w:r>
        <w:t>Require human review for consequential decisions about employment, eligibility or assessment; AI output must not silently make final hiring decisions.</w:t>
      </w:r>
    </w:p>
    <w:p>
      <w:pPr>
        <w:pStyle w:val="ListNumber"/>
      </w:pPr>
      <w:r>
        <w:t>Monitor quality, latency, cost and provider changes; version prompts and record evaluations.</w:t>
      </w:r>
    </w:p>
    <w:p>
      <w:pPr>
        <w:pStyle w:val="ListNumber"/>
      </w:pPr>
      <w:r>
        <w:t>Provide a fallback or disable switch if quality, safety or cost exceeds agreed thresholds.</w:t>
      </w:r>
    </w:p>
    <w:p>
      <w:pPr>
        <w:pStyle w:val="Heading2"/>
      </w:pPr>
      <w:r>
        <w:t>Required records</w:t>
      </w:r>
    </w:p>
    <w:p>
      <w:r>
        <w:t>AI system inventory, data-flow diagram, evaluation set/results, version history, cost monitoring and approval record.</w:t>
      </w:r>
    </w:p>
    <w:p>
      <w:pPr>
        <w:pStyle w:val="Heading2"/>
      </w:pPr>
      <w:r>
        <w:t>Escalation / stop conditions</w:t>
      </w:r>
    </w:p>
    <w:p>
      <w:r>
        <w:t>Pause the workflow if it leaks data, produces harmful or discriminatory outcomes, bypasses consent or lacks an accountable human owner.</w:t>
      </w:r>
    </w:p>
    <w:p>
      <w:pPr>
        <w:pStyle w:val="Heading1"/>
      </w:pPr>
      <w:r>
        <w:t>Appendix A — Minimum monthly operations review</w:t>
      </w:r>
    </w:p>
    <w:p>
      <w:pPr>
        <w:pStyle w:val="ListBullet"/>
      </w:pPr>
      <w:r>
        <w:t>Product: releases, defects, availability, security actions and delivery risks.</w:t>
      </w:r>
    </w:p>
    <w:p>
      <w:pPr>
        <w:pStyle w:val="ListBullet"/>
      </w:pPr>
      <w:r>
        <w:t>Customers: interviews completed, pilots active, usage, support issues and renewal signals.</w:t>
      </w:r>
    </w:p>
    <w:p>
      <w:pPr>
        <w:pStyle w:val="ListBullet"/>
      </w:pPr>
      <w:r>
        <w:t>Commercial: pipeline by stage, expected close date, conversion and evidence for pricing.</w:t>
      </w:r>
    </w:p>
    <w:p>
      <w:pPr>
        <w:pStyle w:val="ListBullet"/>
      </w:pPr>
      <w:r>
        <w:t>Finance: opening/closing cash, actual burn, receivables/payables, committed costs and runway.</w:t>
      </w:r>
    </w:p>
    <w:p>
      <w:pPr>
        <w:pStyle w:val="ListBullet"/>
      </w:pPr>
      <w:r>
        <w:t>Governance: access review, vendor changes, retention/deletion requests, incidents and policy updates.</w:t>
      </w:r>
    </w:p>
    <w:p>
      <w:pPr>
        <w:pStyle w:val="ListBullet"/>
      </w:pPr>
      <w:r>
        <w:t>Next month: top three outcomes, accountable owner, success measure and due date.</w:t>
      </w:r>
    </w:p>
    <w:p>
      <w:pPr>
        <w:pStyle w:val="Heading1"/>
      </w:pPr>
      <w:r>
        <w:t>Appendix B — Adoption checklist</w:t>
      </w:r>
    </w:p>
    <w:p>
      <w:pPr>
        <w:pStyle w:val="ListBullet"/>
      </w:pPr>
      <w:r>
        <w:t>Assign named owners for operations, engineering, security/privacy, support and finance.</w:t>
      </w:r>
    </w:p>
    <w:p>
      <w:pPr>
        <w:pStyle w:val="ListBullet"/>
      </w:pPr>
      <w:r>
        <w:t>Review SOPs with qualified legal/accounting/security advisors as appropriate.</w:t>
      </w:r>
    </w:p>
    <w:p>
      <w:pPr>
        <w:pStyle w:val="ListBullet"/>
      </w:pPr>
      <w:r>
        <w:t>Set incident severity response targets and contact tree.</w:t>
      </w:r>
    </w:p>
    <w:p>
      <w:pPr>
        <w:pStyle w:val="ListBullet"/>
      </w:pPr>
      <w:r>
        <w:t>Confirm applicable privacy, employment, consumer, tax and corporate requirements for operating jurisdictions.</w:t>
      </w:r>
    </w:p>
    <w:p>
      <w:pPr>
        <w:pStyle w:val="ListBullet"/>
      </w:pPr>
      <w:r>
        <w:t>Store approved SOP version in a controlled repository; train team members and record acknowledgement.</w:t>
      </w:r>
    </w:p>
    <w:p>
      <w:pPr>
        <w:pStyle w:val="ListBullet"/>
      </w:pPr>
      <w:r>
        <w:t>Review after the first 30 days of use and after any material incident.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Internal working document • Version 1.0 •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OPERATIONS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