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NDA &amp; IP Assignment Framework</w:t>
      </w:r>
    </w:p>
    <w:p>
      <w:r>
        <w:rPr>
          <w:b/>
          <w:color w:val="087A55"/>
        </w:rPr>
        <w:t>Template for discussions and contributor engagement — choose the correct agreement before use</w:t>
      </w:r>
    </w:p>
    <w:p>
      <w:r>
        <w:t>IMPORTANT: This is a founder working template, not legal advice or a final legal instrument. Complete all bracketed fields, confirm the correct legal entity and governing law, and obtain review from qualified Indian counsel before signature, publication, filing or reliance.</w:t>
      </w:r>
    </w:p>
    <w:p>
      <w:pPr>
        <w:pStyle w:val="Heading1"/>
      </w:pPr>
      <w:r>
        <w:t>Use note: do not sign this combined template unchanged</w:t>
      </w:r>
    </w:p>
    <w:p>
      <w:r>
        <w:t>An NDA and an IP assignment solve different problems. For exploratory discussions, use a suitable NDA. For a developer/contractor creating work, use a services agreement plus a carefully drafted IP assignment and confidentiality clause. A mutual NDA alone does not automatically transfer ownership of created work. Counsel should split and adapt these clauses to the relationship.</w:t>
      </w:r>
    </w:p>
    <w:p>
      <w:pPr>
        <w:pStyle w:val="Heading1"/>
      </w:pPr>
      <w:r>
        <w:t>Part A — Mutual non-disclosure agreement (discussion template)</w:t>
      </w:r>
    </w:p>
    <w:p>
      <w:pPr>
        <w:pStyle w:val="Heading2"/>
      </w:pPr>
      <w:r>
        <w:t>1. Parties and effective date</w:t>
      </w:r>
    </w:p>
    <w:p>
      <w:r>
        <w:t>This Mutual Non-Disclosure Agreement (Agreement) is entered into on [date] between [full legal name and address of party A] and [full legal name and address of party B] (each a Party, together the Parties).</w:t>
      </w:r>
    </w:p>
    <w:p>
      <w:pPr>
        <w:pStyle w:val="Heading2"/>
      </w:pPr>
      <w:r>
        <w:t>2. Purpose</w:t>
      </w:r>
    </w:p>
    <w:p>
      <w:r>
        <w:t>The Parties may exchange confidential information solely to evaluate or discuss [specific project / partnership / development engagement] (Purpose). No other use is permitted without written consent.</w:t>
      </w:r>
    </w:p>
    <w:p>
      <w:pPr>
        <w:pStyle w:val="Heading2"/>
      </w:pPr>
      <w:r>
        <w:t>3. Confidential Information</w:t>
      </w:r>
    </w:p>
    <w:p>
      <w:r>
        <w:t>Confidential Information means non-public business, technical, product, financial, customer, security, source-code, design, roadmap and operational information disclosed in any form and identified as confidential or reasonably understood to be confidential.</w:t>
      </w:r>
    </w:p>
    <w:p>
      <w:pPr>
        <w:pStyle w:val="Heading2"/>
      </w:pPr>
      <w:r>
        <w:t>4. Exclusions</w:t>
      </w:r>
    </w:p>
    <w:p>
      <w:r>
        <w:t>Confidential Information does not include information the recipient can demonstrate: (a) is public without breach; (b) was lawfully known without duty before disclosure; (c) is independently developed without use of the disclosed information; or (d) is lawfully received from a third party without confidentiality duty.</w:t>
      </w:r>
    </w:p>
    <w:p>
      <w:pPr>
        <w:pStyle w:val="Heading2"/>
      </w:pPr>
      <w:r>
        <w:t>5. Recipient duties</w:t>
      </w:r>
    </w:p>
    <w:p>
      <w:r>
        <w:t>The recipient will use the information only for the Purpose, protect it with reasonable care, limit access to people who need it and are bound by confidentiality duties, and not reverse engineer or copy samples except as expressly authorised in writing.</w:t>
      </w:r>
    </w:p>
    <w:p>
      <w:pPr>
        <w:pStyle w:val="Heading2"/>
      </w:pPr>
      <w:r>
        <w:t>6. Compelled disclosure</w:t>
      </w:r>
    </w:p>
    <w:p>
      <w:r>
        <w:t>If legally compelled to disclose, the recipient may disclose only the legally required portion and, where legally permitted, will give prompt notice and reasonable cooperation to seek protective treatment.</w:t>
      </w:r>
    </w:p>
    <w:p>
      <w:pPr>
        <w:pStyle w:val="Heading2"/>
      </w:pPr>
      <w:r>
        <w:t>7. Return / deletion</w:t>
      </w:r>
    </w:p>
    <w:p>
      <w:r>
        <w:t>On written request or end of discussions, the recipient will return or delete Confidential Information within [30] days, except copies retained by law or routine backups that remain protected and are deleted under normal retention cycles.</w:t>
      </w:r>
    </w:p>
    <w:p>
      <w:pPr>
        <w:pStyle w:val="Heading2"/>
      </w:pPr>
      <w:r>
        <w:t>8. No licence or obligation</w:t>
      </w:r>
    </w:p>
    <w:p>
      <w:r>
        <w:t>Disclosure does not transfer ownership or grant any licence except the limited right to evaluate information for the Purpose. Neither Party is required to proceed with a transaction.</w:t>
      </w:r>
    </w:p>
    <w:p>
      <w:pPr>
        <w:pStyle w:val="Heading2"/>
      </w:pPr>
      <w:r>
        <w:t>9. Term</w:t>
      </w:r>
    </w:p>
    <w:p>
      <w:r>
        <w:t>This Agreement begins on the effective date. Confidentiality duties apply for [3] years after each disclosure; trade secrets remain protected for as long as they qualify as trade secrets under applicable law, subject to counsel review.</w:t>
      </w:r>
    </w:p>
    <w:p>
      <w:pPr>
        <w:pStyle w:val="Heading2"/>
      </w:pPr>
      <w:r>
        <w:t>10. Remedies and liability</w:t>
      </w:r>
    </w:p>
    <w:p>
      <w:r>
        <w:t>The Parties may seek remedies available under applicable law. Any indemnity, liquidated damages, liability cap or injunctive-relief wording must be specifically reviewed and completed by counsel.</w:t>
      </w:r>
    </w:p>
    <w:p>
      <w:pPr>
        <w:pStyle w:val="Heading2"/>
      </w:pPr>
      <w:r>
        <w:t>11. Governing law and disputes</w:t>
      </w:r>
    </w:p>
    <w:p>
      <w:r>
        <w:t>Governing law: [India / other agreed jurisdiction]. Courts / arbitration seat and process: [complete after legal advice].</w:t>
      </w:r>
    </w:p>
    <w:p>
      <w:pPr>
        <w:pStyle w:val="Heading2"/>
      </w:pPr>
      <w:r>
        <w:t>12. General</w:t>
      </w:r>
    </w:p>
    <w:p>
      <w:r>
        <w:t>Amendments must be written and signed. If a provision is unenforceable, the remainder continues to the extent permitted by law. Electronic signature and counterparts: [confirm validity and preferred method].</w:t>
      </w:r>
    </w:p>
    <w:p>
      <w:pPr>
        <w:pStyle w:val="Heading2"/>
      </w:pPr>
      <w:r>
        <w:t>Signatures</w:t>
      </w:r>
    </w:p>
    <w:p>
      <w:r>
        <w:t>Party A: [name, title, entity, signature, date]</w:t>
        <w:br/>
        <w:t>Party B: [name, title, entity, signature, date]</w:t>
      </w:r>
    </w:p>
    <w:p>
      <w:pPr>
        <w:pStyle w:val="Heading1"/>
      </w:pPr>
      <w:r>
        <w:t>Part B — IP assignment schedule for a developer / contractor</w:t>
      </w:r>
    </w:p>
    <w:p>
      <w:r>
        <w:t>Use this schedule only as part of a properly drafted services/employment/contractor agreement. It must be adapted to the facts, payment arrangement and applicable law.</w:t>
      </w:r>
    </w:p>
    <w:p>
      <w:pPr>
        <w:pStyle w:val="Heading2"/>
      </w:pPr>
      <w:r>
        <w:t>1. Engagement</w:t>
      </w:r>
    </w:p>
    <w:p>
      <w:r>
        <w:t>Contributor: [full legal name]. Hiring entity: [full registered entity name]. Services: [precise scope]. Start date: [date]. Fees and milestones: [contract reference].</w:t>
      </w:r>
    </w:p>
    <w:p>
      <w:pPr>
        <w:pStyle w:val="Heading2"/>
      </w:pPr>
      <w:r>
        <w:t>2. Project Work</w:t>
      </w:r>
    </w:p>
    <w:p>
      <w:r>
        <w:t>Project Work means the deliverables specifically created by the Contributor in performing the Services, listed in an attached schedule and including [source code, designs, documentation, tests, specifications and other agreed deliverables].</w:t>
      </w:r>
    </w:p>
    <w:p>
      <w:pPr>
        <w:pStyle w:val="Heading2"/>
      </w:pPr>
      <w:r>
        <w:t>3. Assignment</w:t>
      </w:r>
    </w:p>
    <w:p>
      <w:r>
        <w:t>Subject to applicable law and any mandatory formalities, the Contributor assigns to [legal entity name] the rights in Project Work identified in this agreement, including the rights and territories expressly described in a lawyer-reviewed assignment clause. Specify consideration, duration, territory, modes of exploitation and effective date as required by law.</w:t>
      </w:r>
    </w:p>
    <w:p>
      <w:pPr>
        <w:pStyle w:val="Heading2"/>
      </w:pPr>
      <w:r>
        <w:t>4. Background IP</w:t>
      </w:r>
    </w:p>
    <w:p>
      <w:r>
        <w:t>Contributor must list pre-existing tools, code, templates and materials excluded from assignment in Schedule B. For any approved Background IP incorporated into deliverables, define the licence needed for the company to use, modify, distribute and support the deliverable.</w:t>
      </w:r>
    </w:p>
    <w:p>
      <w:pPr>
        <w:pStyle w:val="Heading2"/>
      </w:pPr>
      <w:r>
        <w:t>5. Third-party materials</w:t>
      </w:r>
    </w:p>
    <w:p>
      <w:r>
        <w:t>Contributor must disclose open-source components, datasets, model outputs, stock assets and other third-party materials with their licences/terms and must not introduce incompatible or unapproved material.</w:t>
      </w:r>
    </w:p>
    <w:p>
      <w:pPr>
        <w:pStyle w:val="Heading2"/>
      </w:pPr>
      <w:r>
        <w:t>6. Further assurances and moral rights</w:t>
      </w:r>
    </w:p>
    <w:p>
      <w:r>
        <w:t>Any cooperation, attribution, waiver/consent or further-assurance provision must be drafted by counsel and limited as permitted by applicable law.</w:t>
      </w:r>
    </w:p>
    <w:p>
      <w:pPr>
        <w:pStyle w:val="Heading2"/>
      </w:pPr>
      <w:r>
        <w:t>7. Confidentiality and security</w:t>
      </w:r>
    </w:p>
    <w:p>
      <w:r>
        <w:t>Contributor will follow agreed security controls, use approved accounts, protect credentials, report incidents promptly and return/delete company data at the end of engagement.</w:t>
      </w:r>
    </w:p>
    <w:p>
      <w:pPr>
        <w:pStyle w:val="Heading2"/>
      </w:pPr>
      <w:r>
        <w:t>8. Acceptance and records</w:t>
      </w:r>
    </w:p>
    <w:p>
      <w:r>
        <w:t>List deliverables, acceptance criteria, repository/location, handover date, dependencies, test evidence and known third-party licences.</w:t>
      </w:r>
    </w:p>
    <w:p>
      <w:pPr>
        <w:pStyle w:val="Heading2"/>
      </w:pPr>
      <w:r>
        <w:t>9. Sign-off</w:t>
      </w:r>
    </w:p>
    <w:p>
      <w:r>
        <w:t>Contributor: [signature/date]. Company authorised signatory: [signature/date]. Counsel review: [name/date].</w:t>
      </w:r>
    </w:p>
    <w:p>
      <w:pPr>
        <w:pStyle w:val="Heading1"/>
      </w:pPr>
      <w:r>
        <w:t>Schedules to complete</w:t>
      </w:r>
    </w:p>
    <w:p>
      <w:pPr>
        <w:pStyle w:val="ListBullet"/>
      </w:pPr>
      <w:r>
        <w:t>Schedule A — Project Work and deliverables.</w:t>
      </w:r>
    </w:p>
    <w:p>
      <w:pPr>
        <w:pStyle w:val="ListBullet"/>
      </w:pPr>
      <w:r>
        <w:t>Schedule B — Background IP / excluded materials.</w:t>
      </w:r>
    </w:p>
    <w:p>
      <w:pPr>
        <w:pStyle w:val="ListBullet"/>
      </w:pPr>
      <w:r>
        <w:t>Schedule C — Third-party and open-source components.</w:t>
      </w:r>
    </w:p>
    <w:p>
      <w:pPr>
        <w:pStyle w:val="ListBullet"/>
      </w:pPr>
      <w:r>
        <w:t>Schedule D — Fees / consideration / milestones and acceptance.</w:t>
      </w:r>
    </w:p>
    <w:p>
      <w:pPr>
        <w:pStyle w:val="ListBullet"/>
      </w:pPr>
      <w:r>
        <w:t>Schedule E — Access, data handling, deletion and handover checklist.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Working template • Version 1.0 • 30 October 2026 • Legal review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87A55"/>
      </w:rPr>
      <w:t>APTOHIRE  |  LEGAL, IP &amp;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0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A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