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Team Charter &amp; Roles</w:t>
      </w:r>
    </w:p>
    <w:p>
      <w:pPr>
        <w:pStyle w:val="Subtitle"/>
      </w:pPr>
      <w:r>
        <w:t>A practical ownership model for a lean, early-stage AptoHire team</w:t>
      </w:r>
    </w:p>
    <w:p>
      <w:r>
        <w:t>Status: Proposed operating template. Confirm owners, facts, legal terms and approvals before adoption.</w:t>
      </w:r>
    </w:p>
    <w:p>
      <w:pPr>
        <w:pStyle w:val="Heading1"/>
      </w:pPr>
      <w:r>
        <w:t>1. Purpose</w:t>
      </w:r>
    </w:p>
    <w:p>
      <w:r>
        <w:t>This charter clarifies decision rights, domain ownership, collaboration standards and escalation paths. It is a proposed structure—not a claim that every role is currently staffed.</w:t>
      </w:r>
    </w:p>
    <w:p>
      <w:pPr>
        <w:pStyle w:val="Heading1"/>
      </w:pPr>
      <w:r>
        <w:t>2. Operating principles</w:t>
      </w:r>
    </w:p>
    <w:p>
      <w:pPr>
        <w:pStyle w:val="ListBullet"/>
      </w:pPr>
      <w:r>
        <w:t>One directly responsible owner (DRO) per deliverable; contributors may be multiple, accountability is singular.</w:t>
      </w:r>
    </w:p>
    <w:p>
      <w:pPr>
        <w:pStyle w:val="ListBullet"/>
      </w:pPr>
      <w:r>
        <w:t>Prefer written decisions, small releases, measurable outcomes and reversible experiments.</w:t>
      </w:r>
    </w:p>
    <w:p>
      <w:pPr>
        <w:pStyle w:val="ListBullet"/>
      </w:pPr>
      <w:r>
        <w:t>Student identity, assessment data and employer access are trust-critical; privacy and security are product requirements, not later-stage polish.</w:t>
      </w:r>
    </w:p>
    <w:p>
      <w:pPr>
        <w:pStyle w:val="ListBullet"/>
      </w:pPr>
      <w:r>
        <w:t>Never describe a prototype, mock or planned feature as production-ready without a documented verification check.</w:t>
      </w:r>
    </w:p>
    <w:p>
      <w:pPr>
        <w:pStyle w:val="ListBullet"/>
      </w:pPr>
      <w:r>
        <w:t>Escalate a security, privacy, legal or safety concern immediately; pause affected workflows until triaged.</w:t>
      </w:r>
    </w:p>
    <w:p>
      <w:pPr>
        <w:pStyle w:val="Heading1"/>
      </w:pPr>
      <w:r>
        <w:t>3. Domain ownership matrix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72033"/>
          </w:tcPr>
          <w:p>
            <w:r>
              <w:rPr>
                <w:b/>
                <w:color w:val="FFFFFF"/>
              </w:rPr>
              <w:t>Domain</w:t>
            </w:r>
          </w:p>
        </w:tc>
        <w:tc>
          <w:tcPr>
            <w:tcW w:type="dxa" w:w="2520"/>
            <w:shd w:fill="172033"/>
          </w:tcPr>
          <w:p>
            <w:r>
              <w:rPr>
                <w:b/>
                <w:color w:val="FFFFFF"/>
              </w:rPr>
              <w:t>Accountable role (assign a person)</w:t>
            </w:r>
          </w:p>
        </w:tc>
        <w:tc>
          <w:tcPr>
            <w:tcW w:type="dxa" w:w="2520"/>
            <w:shd w:fill="172033"/>
          </w:tcPr>
          <w:p>
            <w:r>
              <w:rPr>
                <w:b/>
                <w:color w:val="FFFFFF"/>
              </w:rPr>
              <w:t>Core responsibilities</w:t>
            </w:r>
          </w:p>
        </w:tc>
        <w:tc>
          <w:tcPr>
            <w:tcW w:type="dxa" w:w="2520"/>
            <w:shd w:fill="172033"/>
          </w:tcPr>
          <w:p>
            <w:r>
              <w:rPr>
                <w:b/>
                <w:color w:val="FFFFFF"/>
              </w:rPr>
              <w:t>Decision boundary / evidence</w:t>
            </w:r>
          </w:p>
        </w:tc>
      </w:tr>
      <w:tr>
        <w:tc>
          <w:tcPr>
            <w:tcW w:type="dxa" w:w="2520"/>
            <w:shd w:fill="F4F7F5"/>
          </w:tcPr>
          <w:p>
            <w:r>
              <w:rPr>
                <w:sz w:val="16"/>
              </w:rPr>
              <w:t>Product &amp; discovery</w:t>
            </w:r>
          </w:p>
        </w:tc>
        <w:tc>
          <w:tcPr>
            <w:tcW w:type="dxa" w:w="2520"/>
            <w:shd w:fill="F4F7F5"/>
          </w:tcPr>
          <w:p>
            <w:r>
              <w:rPr>
                <w:sz w:val="16"/>
              </w:rPr>
              <w:t>Founder / Product Lead</w:t>
            </w:r>
          </w:p>
        </w:tc>
        <w:tc>
          <w:tcPr>
            <w:tcW w:type="dxa" w:w="2520"/>
            <w:shd w:fill="F4F7F5"/>
          </w:tcPr>
          <w:p>
            <w:r>
              <w:rPr>
                <w:sz w:val="16"/>
              </w:rPr>
              <w:t>Problem interviews, PRD, prioritisation, acceptance criteria</w:t>
            </w:r>
          </w:p>
        </w:tc>
        <w:tc>
          <w:tcPr>
            <w:tcW w:type="dxa" w:w="2520"/>
            <w:shd w:fill="F4F7F5"/>
          </w:tcPr>
          <w:p>
            <w:r>
              <w:rPr>
                <w:sz w:val="16"/>
              </w:rPr>
              <w:t>Priorities supported by user evidence and documented trade-offs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Engineering &amp; architecture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Technical Lead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Architecture, code quality, release readiness, reliability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Technical choices recorded; critical changes reviewed</w:t>
            </w:r>
          </w:p>
        </w:tc>
      </w:tr>
      <w:tr>
        <w:tc>
          <w:tcPr>
            <w:tcW w:type="dxa" w:w="2520"/>
            <w:shd w:fill="F4F7F5"/>
          </w:tcPr>
          <w:p>
            <w:r>
              <w:rPr>
                <w:sz w:val="16"/>
              </w:rPr>
              <w:t>Data, AI &amp; integrations</w:t>
            </w:r>
          </w:p>
        </w:tc>
        <w:tc>
          <w:tcPr>
            <w:tcW w:type="dxa" w:w="2520"/>
            <w:shd w:fill="F4F7F5"/>
          </w:tcPr>
          <w:p>
            <w:r>
              <w:rPr>
                <w:sz w:val="16"/>
              </w:rPr>
              <w:t>AI/Integration Lead (may be shared)</w:t>
            </w:r>
          </w:p>
        </w:tc>
        <w:tc>
          <w:tcPr>
            <w:tcW w:type="dxa" w:w="2520"/>
            <w:shd w:fill="F4F7F5"/>
          </w:tcPr>
          <w:p>
            <w:r>
              <w:rPr>
                <w:sz w:val="16"/>
              </w:rPr>
              <w:t>Model/vendor selection, evaluation, prompt/data flows, cost controls</w:t>
            </w:r>
          </w:p>
        </w:tc>
        <w:tc>
          <w:tcPr>
            <w:tcW w:type="dxa" w:w="2520"/>
            <w:shd w:fill="F4F7F5"/>
          </w:tcPr>
          <w:p>
            <w:r>
              <w:rPr>
                <w:sz w:val="16"/>
              </w:rPr>
              <w:t>Evaluation results, privacy review and fallback path documented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Security &amp; privacy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Security/Privacy Owner (may be fractional)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Access controls, incident handling, data lifecycle, vendor review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Risk register, access review and incident log maintained</w:t>
            </w:r>
          </w:p>
        </w:tc>
      </w:tr>
      <w:tr>
        <w:tc>
          <w:tcPr>
            <w:tcW w:type="dxa" w:w="2520"/>
            <w:shd w:fill="F4F7F5"/>
          </w:tcPr>
          <w:p>
            <w:r>
              <w:rPr>
                <w:sz w:val="16"/>
              </w:rPr>
              <w:t>University partnerships</w:t>
            </w:r>
          </w:p>
        </w:tc>
        <w:tc>
          <w:tcPr>
            <w:tcW w:type="dxa" w:w="2520"/>
            <w:shd w:fill="F4F7F5"/>
          </w:tcPr>
          <w:p>
            <w:r>
              <w:rPr>
                <w:sz w:val="16"/>
              </w:rPr>
              <w:t>Partnerships Lead</w:t>
            </w:r>
          </w:p>
        </w:tc>
        <w:tc>
          <w:tcPr>
            <w:tcW w:type="dxa" w:w="2520"/>
            <w:shd w:fill="F4F7F5"/>
          </w:tcPr>
          <w:p>
            <w:r>
              <w:rPr>
                <w:sz w:val="16"/>
              </w:rPr>
              <w:t>Discovery, pilot scope, procurement, stakeholder coordination</w:t>
            </w:r>
          </w:p>
        </w:tc>
        <w:tc>
          <w:tcPr>
            <w:tcW w:type="dxa" w:w="2520"/>
            <w:shd w:fill="F4F7F5"/>
          </w:tcPr>
          <w:p>
            <w:r>
              <w:rPr>
                <w:sz w:val="16"/>
              </w:rPr>
              <w:t>Written pilot scope, success metrics and consent/data boundaries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Employer partnerships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Employer Success Lead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Employer onboarding, role requirements, feedback and support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Employer access follows approved purpose and permissions</w:t>
            </w:r>
          </w:p>
        </w:tc>
      </w:tr>
      <w:tr>
        <w:tc>
          <w:tcPr>
            <w:tcW w:type="dxa" w:w="2520"/>
            <w:shd w:fill="F4F7F5"/>
          </w:tcPr>
          <w:p>
            <w:r>
              <w:rPr>
                <w:sz w:val="16"/>
              </w:rPr>
              <w:t>Growth &amp; brand</w:t>
            </w:r>
          </w:p>
        </w:tc>
        <w:tc>
          <w:tcPr>
            <w:tcW w:type="dxa" w:w="2520"/>
            <w:shd w:fill="F4F7F5"/>
          </w:tcPr>
          <w:p>
            <w:r>
              <w:rPr>
                <w:sz w:val="16"/>
              </w:rPr>
              <w:t>Growth Lead</w:t>
            </w:r>
          </w:p>
        </w:tc>
        <w:tc>
          <w:tcPr>
            <w:tcW w:type="dxa" w:w="2520"/>
            <w:shd w:fill="F4F7F5"/>
          </w:tcPr>
          <w:p>
            <w:r>
              <w:rPr>
                <w:sz w:val="16"/>
              </w:rPr>
              <w:t>Positioning, channels, funnel experiments and collateral</w:t>
            </w:r>
          </w:p>
        </w:tc>
        <w:tc>
          <w:tcPr>
            <w:tcW w:type="dxa" w:w="2520"/>
            <w:shd w:fill="F4F7F5"/>
          </w:tcPr>
          <w:p>
            <w:r>
              <w:rPr>
                <w:sz w:val="16"/>
              </w:rPr>
              <w:t>Claims substantiated; experiments have hypothesis and stop rule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Finance, legal &amp; operations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Operations/Finance Owner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Budget, contracts, cap table, records, vendor and compliance tracking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Approvals and source records retained</w:t>
            </w:r>
          </w:p>
        </w:tc>
      </w:tr>
    </w:tbl>
    <w:p>
      <w:pPr>
        <w:pStyle w:val="Heading1"/>
      </w:pPr>
      <w:r>
        <w:t>4. Decision rights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2033"/>
          </w:tcPr>
          <w:p>
            <w:r>
              <w:rPr>
                <w:b/>
                <w:color w:val="FFFFFF"/>
              </w:rPr>
              <w:t>Decision type</w:t>
            </w:r>
          </w:p>
        </w:tc>
        <w:tc>
          <w:tcPr>
            <w:tcW w:type="dxa" w:w="5040"/>
            <w:shd w:fill="172033"/>
          </w:tcPr>
          <w:p>
            <w:r>
              <w:rPr>
                <w:b/>
                <w:color w:val="FFFFFF"/>
              </w:rPr>
              <w:t>Proposed decision rule</w:t>
            </w:r>
          </w:p>
        </w:tc>
      </w:tr>
      <w:tr>
        <w:tc>
          <w:tcPr>
            <w:tcW w:type="dxa" w:w="5040"/>
            <w:shd w:fill="F4F7F5"/>
          </w:tcPr>
          <w:p>
            <w:r>
              <w:rPr>
                <w:sz w:val="16"/>
              </w:rPr>
              <w:t>Product roadmap</w:t>
            </w:r>
          </w:p>
        </w:tc>
        <w:tc>
          <w:tcPr>
            <w:tcW w:type="dxa" w:w="5040"/>
            <w:shd w:fill="F4F7F5"/>
          </w:tcPr>
          <w:p>
            <w:r>
              <w:rPr>
                <w:sz w:val="16"/>
              </w:rPr>
              <w:t>Product Lead proposes; founder/leadership approves quarterly priorities.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Architecture / release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Technical Lead approves technical design and release checklist; privacy/security owner can block unsafe release.</w:t>
            </w:r>
          </w:p>
        </w:tc>
      </w:tr>
      <w:tr>
        <w:tc>
          <w:tcPr>
            <w:tcW w:type="dxa" w:w="5040"/>
            <w:shd w:fill="F4F7F5"/>
          </w:tcPr>
          <w:p>
            <w:r>
              <w:rPr>
                <w:sz w:val="16"/>
              </w:rPr>
              <w:t>Spend / contracts</w:t>
            </w:r>
          </w:p>
        </w:tc>
        <w:tc>
          <w:tcPr>
            <w:tcW w:type="dxa" w:w="5040"/>
            <w:shd w:fill="F4F7F5"/>
          </w:tcPr>
          <w:p>
            <w:r>
              <w:rPr>
                <w:sz w:val="16"/>
              </w:rPr>
              <w:t>Pre-approve a spend threshold and signing authority in writing; until set, founder approval required.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Data access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Least-privilege access only; access to sensitive data requires a documented purpose and owner approval.</w:t>
            </w:r>
          </w:p>
        </w:tc>
      </w:tr>
      <w:tr>
        <w:tc>
          <w:tcPr>
            <w:tcW w:type="dxa" w:w="5040"/>
            <w:shd w:fill="F4F7F5"/>
          </w:tcPr>
          <w:p>
            <w:r>
              <w:rPr>
                <w:sz w:val="16"/>
              </w:rPr>
              <w:t>Hiring / compensation</w:t>
            </w:r>
          </w:p>
        </w:tc>
        <w:tc>
          <w:tcPr>
            <w:tcW w:type="dxa" w:w="5040"/>
            <w:shd w:fill="F4F7F5"/>
          </w:tcPr>
          <w:p>
            <w:r>
              <w:rPr>
                <w:sz w:val="16"/>
              </w:rPr>
              <w:t>Role owner recommends; budget owner approves; founder approves executive roles and equity grants.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Public claims / press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Growth drafts; product/technical owner verifies claims; authorised spokesperson approves.</w:t>
            </w:r>
          </w:p>
        </w:tc>
      </w:tr>
    </w:tbl>
    <w:p>
      <w:pPr>
        <w:pStyle w:val="Heading1"/>
      </w:pPr>
      <w:r>
        <w:t>5. Team cadence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2033"/>
          </w:tcPr>
          <w:p>
            <w:r>
              <w:rPr>
                <w:b/>
                <w:color w:val="FFFFFF"/>
              </w:rPr>
              <w:t>Cadence</w:t>
            </w:r>
          </w:p>
        </w:tc>
        <w:tc>
          <w:tcPr>
            <w:tcW w:type="dxa" w:w="3360"/>
            <w:shd w:fill="172033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3360"/>
            <w:shd w:fill="172033"/>
          </w:tcPr>
          <w:p>
            <w:r>
              <w:rPr>
                <w:b/>
                <w:color w:val="FFFFFF"/>
              </w:rPr>
              <w:t>Output</w:t>
            </w:r>
          </w:p>
        </w:tc>
      </w:tr>
      <w:tr>
        <w:tc>
          <w:tcPr>
            <w:tcW w:type="dxa" w:w="3360"/>
            <w:shd w:fill="F4F7F5"/>
          </w:tcPr>
          <w:p>
            <w:r>
              <w:rPr>
                <w:sz w:val="16"/>
              </w:rPr>
              <w:t>Weekly 30-minute operating review</w:t>
            </w:r>
          </w:p>
        </w:tc>
        <w:tc>
          <w:tcPr>
            <w:tcW w:type="dxa" w:w="3360"/>
            <w:shd w:fill="F4F7F5"/>
          </w:tcPr>
          <w:p>
            <w:r>
              <w:rPr>
                <w:sz w:val="16"/>
              </w:rPr>
              <w:t>Review top priorities, blockers, funnel, incidents and cash</w:t>
            </w:r>
          </w:p>
        </w:tc>
        <w:tc>
          <w:tcPr>
            <w:tcW w:type="dxa" w:w="3360"/>
            <w:shd w:fill="F4F7F5"/>
          </w:tcPr>
          <w:p>
            <w:r>
              <w:rPr>
                <w:sz w:val="16"/>
              </w:rPr>
              <w:t>Owner + due date for every action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Biweekly product review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Review user evidence, shipped changes and usability issues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Updated backlog and decision log</w:t>
            </w:r>
          </w:p>
        </w:tc>
      </w:tr>
      <w:tr>
        <w:tc>
          <w:tcPr>
            <w:tcW w:type="dxa" w:w="3360"/>
            <w:shd w:fill="F4F7F5"/>
          </w:tcPr>
          <w:p>
            <w:r>
              <w:rPr>
                <w:sz w:val="16"/>
              </w:rPr>
              <w:t>Monthly risk and finance review</w:t>
            </w:r>
          </w:p>
        </w:tc>
        <w:tc>
          <w:tcPr>
            <w:tcW w:type="dxa" w:w="3360"/>
            <w:shd w:fill="F4F7F5"/>
          </w:tcPr>
          <w:p>
            <w:r>
              <w:rPr>
                <w:sz w:val="16"/>
              </w:rPr>
              <w:t>Review runway, vendor spend, access, legal and security risks</w:t>
            </w:r>
          </w:p>
        </w:tc>
        <w:tc>
          <w:tcPr>
            <w:tcW w:type="dxa" w:w="3360"/>
            <w:shd w:fill="F4F7F5"/>
          </w:tcPr>
          <w:p>
            <w:r>
              <w:rPr>
                <w:sz w:val="16"/>
              </w:rPr>
              <w:t>Updated risk register and cash forecast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Quarterly strategy review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Revisit ICP, product thesis, pricing and roadmap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Approved quarterly objectives</w:t>
            </w:r>
          </w:p>
        </w:tc>
      </w:tr>
    </w:tbl>
    <w:p>
      <w:pPr>
        <w:pStyle w:val="Heading1"/>
      </w:pPr>
      <w:r>
        <w:t>6. Role assignment template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2033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040"/>
            <w:shd w:fill="172033"/>
          </w:tcPr>
          <w:p>
            <w:r>
              <w:rPr>
                <w:b/>
                <w:color w:val="FFFFFF"/>
              </w:rPr>
              <w:t>Complete before adoption</w:t>
            </w:r>
          </w:p>
        </w:tc>
      </w:tr>
      <w:tr>
        <w:tc>
          <w:tcPr>
            <w:tcW w:type="dxa" w:w="5040"/>
            <w:shd w:fill="F4F7F5"/>
          </w:tcPr>
          <w:p>
            <w:r>
              <w:rPr>
                <w:sz w:val="16"/>
              </w:rPr>
              <w:t>Name / role</w:t>
            </w:r>
          </w:p>
        </w:tc>
        <w:tc>
          <w:tcPr>
            <w:tcW w:type="dxa" w:w="5040"/>
            <w:shd w:fill="F4F7F5"/>
          </w:tcPr>
          <w:p>
            <w:r>
              <w:rPr>
                <w:sz w:val="16"/>
              </w:rPr>
              <w:t>[Name and role]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Domain owned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[One clear domain]</w:t>
            </w:r>
          </w:p>
        </w:tc>
      </w:tr>
      <w:tr>
        <w:tc>
          <w:tcPr>
            <w:tcW w:type="dxa" w:w="5040"/>
            <w:shd w:fill="F4F7F5"/>
          </w:tcPr>
          <w:p>
            <w:r>
              <w:rPr>
                <w:sz w:val="16"/>
              </w:rPr>
              <w:t>Success measures</w:t>
            </w:r>
          </w:p>
        </w:tc>
        <w:tc>
          <w:tcPr>
            <w:tcW w:type="dxa" w:w="5040"/>
            <w:shd w:fill="F4F7F5"/>
          </w:tcPr>
          <w:p>
            <w:r>
              <w:rPr>
                <w:sz w:val="16"/>
              </w:rPr>
              <w:t>[2–4 measurable outcomes]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Decision rights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[Decisions they can make independently]</w:t>
            </w:r>
          </w:p>
        </w:tc>
      </w:tr>
      <w:tr>
        <w:tc>
          <w:tcPr>
            <w:tcW w:type="dxa" w:w="5040"/>
            <w:shd w:fill="F4F7F5"/>
          </w:tcPr>
          <w:p>
            <w:r>
              <w:rPr>
                <w:sz w:val="16"/>
              </w:rPr>
              <w:t>Dependencies</w:t>
            </w:r>
          </w:p>
        </w:tc>
        <w:tc>
          <w:tcPr>
            <w:tcW w:type="dxa" w:w="5040"/>
            <w:shd w:fill="F4F7F5"/>
          </w:tcPr>
          <w:p>
            <w:r>
              <w:rPr>
                <w:sz w:val="16"/>
              </w:rPr>
              <w:t>[People/teams needed]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Backup / escalation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[Named backup and escalation route]</w:t>
            </w:r>
          </w:p>
        </w:tc>
      </w:tr>
    </w:tbl>
    <w:p>
      <w:pPr>
        <w:pStyle w:val="Heading1"/>
      </w:pPr>
      <w:r>
        <w:t>7. Adoption checklist</w:t>
      </w:r>
    </w:p>
    <w:p>
      <w:pPr>
        <w:pStyle w:val="ListBullet"/>
      </w:pPr>
      <w:r>
        <w:t>Assign a named owner and backup to each domain.</w:t>
      </w:r>
    </w:p>
    <w:p>
      <w:pPr>
        <w:pStyle w:val="ListBullet"/>
      </w:pPr>
      <w:r>
        <w:t>Publish a current decision-maker and escalation list.</w:t>
      </w:r>
    </w:p>
    <w:p>
      <w:pPr>
        <w:pStyle w:val="ListBullet"/>
      </w:pPr>
      <w:r>
        <w:t>Agree on spend, hiring, release and contract approval thresholds.</w:t>
      </w:r>
    </w:p>
    <w:p>
      <w:pPr>
        <w:pStyle w:val="ListBullet"/>
      </w:pPr>
      <w:r>
        <w:t>Review role ownership quarterly and whenever the team changes.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AptoHire • Version 1.0 • Prepared 30 October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b/>
        <w:color w:val="087A55"/>
      </w:rPr>
      <w:t>APTOHIRE  |  INTERNAL WORKING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2D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7A5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20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2033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03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