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ESOP Policy Framework</w:t>
      </w:r>
    </w:p>
    <w:p>
      <w:pPr>
        <w:pStyle w:val="Subtitle"/>
      </w:pPr>
      <w:r>
        <w:t>Decision framework for an employee stock option plan (ESOP) and advisor equity</w:t>
      </w:r>
    </w:p>
    <w:p>
      <w:r>
        <w:t>Status: Proposed operating template. Confirm owners, facts, legal terms and approvals before adoption.</w:t>
      </w:r>
    </w:p>
    <w:p>
      <w:r>
        <w:t>Important: This is a planning framework, not a legally operative ESOP scheme, grant letter or tax opinion. Indian company type, articles, shareholder approvals, valuation, tax and applicable company/securities law must be reviewed by Indian counsel and a company secretary.</w:t>
      </w:r>
    </w:p>
    <w:p>
      <w:pPr>
        <w:pStyle w:val="Heading1"/>
      </w:pPr>
      <w:r>
        <w:t>1. Objectives</w:t>
      </w:r>
    </w:p>
    <w:p>
      <w:pPr>
        <w:pStyle w:val="ListBullet"/>
      </w:pPr>
      <w:r>
        <w:t>Align long-term contributors with sustainable company value creation.</w:t>
      </w:r>
    </w:p>
    <w:p>
      <w:pPr>
        <w:pStyle w:val="ListBullet"/>
      </w:pPr>
      <w:r>
        <w:t>Support hiring where cash compensation alone may be constrained.</w:t>
      </w:r>
    </w:p>
    <w:p>
      <w:pPr>
        <w:pStyle w:val="ListBullet"/>
      </w:pPr>
      <w:r>
        <w:t>Use transparent, role-relevant grant criteria and consistent approval records.</w:t>
      </w:r>
    </w:p>
    <w:p>
      <w:pPr>
        <w:pStyle w:val="ListBullet"/>
      </w:pPr>
      <w:r>
        <w:t>Avoid promises of equity before the company has approved a compliant plan.</w:t>
      </w:r>
    </w:p>
    <w:p>
      <w:pPr>
        <w:pStyle w:val="Heading1"/>
      </w:pPr>
      <w:r>
        <w:t>2. Plan design decisions (not yet set)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Decision required</w:t>
            </w:r>
          </w:p>
        </w:tc>
        <w:tc>
          <w:tcPr>
            <w:tcW w:type="dxa" w:w="3360"/>
            <w:shd w:fill="172033"/>
          </w:tcPr>
          <w:p>
            <w:r>
              <w:rPr>
                <w:b/>
                <w:color w:val="FFFFFF"/>
              </w:rPr>
              <w:t>Recommended governance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Pool size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[To be decided; do not treat a benchmark as a commitment]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Model dilution under multiple funding scenarios before approval.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Eligible participants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Employees, directors and/or advisors—confirm eligibility by law and plan rules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Use written eligibility criteria; advisor arrangements may require a different instrument.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Instrument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Options or other permitted instrument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Counsel and tax adviser to recommend based on company structure.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Vesting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[Proposed: 4 years with 1-year cliff, subject to approval]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State vesting start, monthly/quarterly vesting and treatment on leave/termination.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Exercise price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[Set using valid valuation and legal/tax advice]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Do not invent price or valuation.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Exercise window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[To be set in plan]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Specify post-termination and liquidity-event treatment.</w:t>
            </w:r>
          </w:p>
        </w:tc>
      </w:tr>
      <w:tr>
        <w:tc>
          <w:tcPr>
            <w:tcW w:type="dxa" w:w="3360"/>
            <w:shd w:fill="F4F7F5"/>
          </w:tcPr>
          <w:p>
            <w:r>
              <w:rPr>
                <w:sz w:val="16"/>
              </w:rPr>
              <w:t>Liquidity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No guaranteed liquidity</w:t>
            </w:r>
          </w:p>
        </w:tc>
        <w:tc>
          <w:tcPr>
            <w:tcW w:type="dxa" w:w="3360"/>
            <w:shd w:fill="F4F7F5"/>
          </w:tcPr>
          <w:p>
            <w:r>
              <w:rPr>
                <w:sz w:val="16"/>
              </w:rPr>
              <w:t>Explain that options may never become saleable or valuable.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Approvals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Board/shareholders and other approvals as required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Retain resolutions, plan version, grant register and valuation records.</w:t>
            </w:r>
          </w:p>
        </w:tc>
      </w:tr>
    </w:tbl>
    <w:p>
      <w:pPr>
        <w:pStyle w:val="Heading1"/>
      </w:pPr>
      <w:r>
        <w:t>3. Grant principles</w:t>
      </w:r>
    </w:p>
    <w:p>
      <w:pPr>
        <w:pStyle w:val="ListBullet"/>
      </w:pPr>
      <w:r>
        <w:t>Grant decisions should consider role criticality, level, scope, scarcity of skills, contribution and retention horizon—not just job title.</w:t>
      </w:r>
    </w:p>
    <w:p>
      <w:pPr>
        <w:pStyle w:val="ListBullet"/>
      </w:pPr>
      <w:r>
        <w:t>All grants require written approval, eligibility checks, a grant letter and an updated equity ledger.</w:t>
      </w:r>
    </w:p>
    <w:p>
      <w:pPr>
        <w:pStyle w:val="ListBullet"/>
      </w:pPr>
      <w:r>
        <w:t>Communicate fully diluted ownership assumptions, vesting, exercise cost, expiry and tax uncertainty in plain language.</w:t>
      </w:r>
    </w:p>
    <w:p>
      <w:pPr>
        <w:pStyle w:val="ListBullet"/>
      </w:pPr>
      <w:r>
        <w:t>Do not describe options as cash, guaranteed compensation, or a guaranteed percentage at exit.</w:t>
      </w:r>
    </w:p>
    <w:p>
      <w:pPr>
        <w:pStyle w:val="ListBullet"/>
      </w:pPr>
      <w:r>
        <w:t>Use separate written terms for advisors and contractors; do not assume employee ESOP rules apply to them.</w:t>
      </w:r>
    </w:p>
    <w:p>
      <w:pPr>
        <w:pStyle w:val="Heading1"/>
      </w:pPr>
      <w:r>
        <w:t>4. Proposed approval workflow</w:t>
      </w:r>
    </w:p>
    <w:p>
      <w:pPr>
        <w:pStyle w:val="ListNumber"/>
      </w:pPr>
      <w:r>
        <w:t>Hiring manager submits rationale, role/level, proposed grant and budget impact.</w:t>
      </w:r>
    </w:p>
    <w:p>
      <w:pPr>
        <w:pStyle w:val="ListNumber"/>
      </w:pPr>
      <w:r>
        <w:t>Finance/company secretary checks pool availability, dilution and required approvals.</w:t>
      </w:r>
    </w:p>
    <w:p>
      <w:pPr>
        <w:pStyle w:val="ListNumber"/>
      </w:pPr>
      <w:r>
        <w:t>Counsel confirms plan eligibility, instrument, tax, valuation and required corporate actions.</w:t>
      </w:r>
    </w:p>
    <w:p>
      <w:pPr>
        <w:pStyle w:val="ListNumber"/>
      </w:pPr>
      <w:r>
        <w:t>Authorised board/committee approves grant; no verbal grant is binding.</w:t>
      </w:r>
    </w:p>
    <w:p>
      <w:pPr>
        <w:pStyle w:val="ListNumber"/>
      </w:pPr>
      <w:r>
        <w:t>Issue grant documentation, explain terms, obtain acceptance and update the register.</w:t>
      </w:r>
    </w:p>
    <w:p>
      <w:pPr>
        <w:pStyle w:val="ListNumber"/>
      </w:pPr>
      <w:r>
        <w:t>Review outstanding grants, leavers, exercises and pool headroom quarterly.</w:t>
      </w:r>
    </w:p>
    <w:p>
      <w:pPr>
        <w:pStyle w:val="Heading1"/>
      </w:pPr>
      <w:r>
        <w:t>5. Employee communication checklist</w:t>
      </w:r>
    </w:p>
    <w:p>
      <w:pPr>
        <w:pStyle w:val="ListBullet"/>
      </w:pPr>
      <w:r>
        <w:t>What an option is and what it is not.</w:t>
      </w:r>
    </w:p>
    <w:p>
      <w:pPr>
        <w:pStyle w:val="ListBullet"/>
      </w:pPr>
      <w:r>
        <w:t>Number of options and the relevant share class; how percentage is calculated.</w:t>
      </w:r>
    </w:p>
    <w:p>
      <w:pPr>
        <w:pStyle w:val="ListBullet"/>
      </w:pPr>
      <w:r>
        <w:t>Vesting schedule, cliff, exercise price and exercise deadlines.</w:t>
      </w:r>
    </w:p>
    <w:p>
      <w:pPr>
        <w:pStyle w:val="ListBullet"/>
      </w:pPr>
      <w:r>
        <w:t>Treatment on resignation, termination, death/disability, acquisition or IPO, as approved.</w:t>
      </w:r>
    </w:p>
    <w:p>
      <w:pPr>
        <w:pStyle w:val="ListBullet"/>
      </w:pPr>
      <w:r>
        <w:t>Tax may arise at exercise/sale and can change; obtain personal tax advice.</w:t>
      </w:r>
    </w:p>
    <w:p>
      <w:pPr>
        <w:pStyle w:val="ListBullet"/>
      </w:pPr>
      <w:r>
        <w:t>No guarantee of valuation, liquidity, or return.</w:t>
      </w:r>
    </w:p>
    <w:p>
      <w:pPr>
        <w:pStyle w:val="Heading1"/>
      </w:pPr>
      <w:r>
        <w:t>6. Required documents</w:t>
      </w:r>
    </w:p>
    <w:p>
      <w:pPr>
        <w:pStyle w:val="ListBullet"/>
      </w:pPr>
      <w:r>
        <w:t>Board-approved ESOP scheme and rules; shareholder resolutions as applicable.</w:t>
      </w:r>
    </w:p>
    <w:p>
      <w:pPr>
        <w:pStyle w:val="ListBullet"/>
      </w:pPr>
      <w:r>
        <w:t>Valuation reports and exercise-price methodology.</w:t>
      </w:r>
    </w:p>
    <w:p>
      <w:pPr>
        <w:pStyle w:val="ListBullet"/>
      </w:pPr>
      <w:r>
        <w:t>Individual grant letters and employee acknowledgements.</w:t>
      </w:r>
    </w:p>
    <w:p>
      <w:pPr>
        <w:pStyle w:val="ListBullet"/>
      </w:pPr>
      <w:r>
        <w:t>Cap table / option register and reconciliation process.</w:t>
      </w:r>
    </w:p>
    <w:p>
      <w:pPr>
        <w:pStyle w:val="ListBullet"/>
      </w:pPr>
      <w:r>
        <w:t>Tax, payroll and company-secretarial compliance calendar.</w:t>
      </w:r>
    </w:p>
    <w:p>
      <w:pPr>
        <w:pStyle w:val="ListBullet"/>
      </w:pPr>
      <w:r>
        <w:t>Leaver, exercise, cancellation and corporate-action procedures.</w:t>
      </w:r>
    </w:p>
    <w:p>
      <w:pPr>
        <w:pStyle w:val="Heading1"/>
      </w:pPr>
      <w:r>
        <w:t>7. Approval record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Approval item</w:t>
            </w:r>
          </w:p>
        </w:tc>
        <w:tc>
          <w:tcPr>
            <w:tcW w:type="dxa" w:w="5040"/>
            <w:shd w:fill="172033"/>
          </w:tcPr>
          <w:p>
            <w:r>
              <w:rPr>
                <w:b/>
                <w:color w:val="FFFFFF"/>
              </w:rPr>
              <w:t>Status / owner / date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Company type and jurisdiction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[Confirm]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Counsel / CS review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[Name / date]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Plan approved by board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[Pending / date]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Shareholder approval, if required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[Pending / date]</w:t>
            </w:r>
          </w:p>
        </w:tc>
      </w:tr>
      <w:tr>
        <w:tc>
          <w:tcPr>
            <w:tcW w:type="dxa" w:w="5040"/>
            <w:shd w:fill="F4F7F5"/>
          </w:tcPr>
          <w:p>
            <w:r>
              <w:rPr>
                <w:sz w:val="16"/>
              </w:rPr>
              <w:t>Valuation and tax review</w:t>
            </w:r>
          </w:p>
        </w:tc>
        <w:tc>
          <w:tcPr>
            <w:tcW w:type="dxa" w:w="5040"/>
            <w:shd w:fill="F4F7F5"/>
          </w:tcPr>
          <w:p>
            <w:r>
              <w:rPr>
                <w:sz w:val="16"/>
              </w:rPr>
              <w:t>[Pending / date]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Grant register owner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[Name]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AptoHire • Version 1.0 • Prepared 30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87A55"/>
      </w:rPr>
      <w:t>APTOHIRE  |  INTERNAL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A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