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Guidelines &amp; Marketing Collaterals</w:t>
      </w:r>
    </w:p>
    <w:p>
      <w:pPr>
        <w:pStyle w:val="Subtitle"/>
      </w:pPr>
      <w:r>
        <w:t>Practical rules for a consistent AptoHire brand across product, sales and social</w:t>
      </w:r>
    </w:p>
    <w:p>
      <w:r>
        <w:t>Status: Proposed operating template. Confirm owners, facts, legal terms and approvals before adoption.</w:t>
      </w:r>
    </w:p>
    <w:p>
      <w:pPr>
        <w:pStyle w:val="Heading1"/>
      </w:pPr>
      <w:r>
        <w:t>1. Brand positioning</w:t>
      </w:r>
    </w:p>
    <w:p>
      <w:r>
        <w:t>Working positioning: AptoHire helps institutions and employers build a clearer, evidence-linked view of student skills and readiness—while keeping identity disclosure and data access under appropriate user control. Treat this as a positioning hypothesis and validate it in interviews and pilots.</w:t>
      </w:r>
    </w:p>
    <w:p>
      <w:pPr>
        <w:pStyle w:val="Heading1"/>
      </w:pPr>
      <w:r>
        <w:t>2. Brand voice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72033"/>
          </w:tcPr>
          <w:p>
            <w:r>
              <w:rPr>
                <w:b/>
                <w:color w:val="FFFFFF"/>
              </w:rPr>
              <w:t>Principle</w:t>
            </w:r>
          </w:p>
        </w:tc>
        <w:tc>
          <w:tcPr>
            <w:tcW w:type="dxa" w:w="3360"/>
            <w:shd w:fill="172033"/>
          </w:tcPr>
          <w:p>
            <w:r>
              <w:rPr>
                <w:b/>
                <w:color w:val="FFFFFF"/>
              </w:rPr>
              <w:t>Do</w:t>
            </w:r>
          </w:p>
        </w:tc>
        <w:tc>
          <w:tcPr>
            <w:tcW w:type="dxa" w:w="3360"/>
            <w:shd w:fill="172033"/>
          </w:tcPr>
          <w:p>
            <w:r>
              <w:rPr>
                <w:b/>
                <w:color w:val="FFFFFF"/>
              </w:rPr>
              <w:t>Avoid</w:t>
            </w:r>
          </w:p>
        </w:tc>
      </w:tr>
      <w:tr>
        <w:tc>
          <w:tcPr>
            <w:tcW w:type="dxa" w:w="3360"/>
            <w:shd w:fill="F4F7F5"/>
          </w:tcPr>
          <w:p>
            <w:r>
              <w:rPr>
                <w:sz w:val="16"/>
              </w:rPr>
              <w:t>Credible</w:t>
            </w:r>
          </w:p>
        </w:tc>
        <w:tc>
          <w:tcPr>
            <w:tcW w:type="dxa" w:w="3360"/>
            <w:shd w:fill="F4F7F5"/>
          </w:tcPr>
          <w:p>
            <w:r>
              <w:rPr>
                <w:sz w:val="16"/>
              </w:rPr>
              <w:t>Use specific, verifiable claims and explain the evidence.</w:t>
            </w:r>
          </w:p>
        </w:tc>
        <w:tc>
          <w:tcPr>
            <w:tcW w:type="dxa" w:w="3360"/>
            <w:shd w:fill="F4F7F5"/>
          </w:tcPr>
          <w:p>
            <w:r>
              <w:rPr>
                <w:sz w:val="16"/>
              </w:rPr>
              <w:t>“Guaranteed jobs”, “100% employability”, unsupported performance statistics.</w:t>
            </w:r>
          </w:p>
        </w:tc>
      </w:tr>
      <w:tr>
        <w:tc>
          <w:tcPr>
            <w:tcW w:type="dxa" w:w="3360"/>
          </w:tcPr>
          <w:p>
            <w:r>
              <w:rPr>
                <w:sz w:val="16"/>
              </w:rPr>
              <w:t>Human</w:t>
            </w:r>
          </w:p>
        </w:tc>
        <w:tc>
          <w:tcPr>
            <w:tcW w:type="dxa" w:w="3360"/>
          </w:tcPr>
          <w:p>
            <w:r>
              <w:rPr>
                <w:sz w:val="16"/>
              </w:rPr>
              <w:t>Talk about capability, opportunity and growth.</w:t>
            </w:r>
          </w:p>
        </w:tc>
        <w:tc>
          <w:tcPr>
            <w:tcW w:type="dxa" w:w="3360"/>
          </w:tcPr>
          <w:p>
            <w:r>
              <w:rPr>
                <w:sz w:val="16"/>
              </w:rPr>
              <w:t>Reducing a person to a score or label.</w:t>
            </w:r>
          </w:p>
        </w:tc>
      </w:tr>
      <w:tr>
        <w:tc>
          <w:tcPr>
            <w:tcW w:type="dxa" w:w="3360"/>
            <w:shd w:fill="F4F7F5"/>
          </w:tcPr>
          <w:p>
            <w:r>
              <w:rPr>
                <w:sz w:val="16"/>
              </w:rPr>
              <w:t>Clear</w:t>
            </w:r>
          </w:p>
        </w:tc>
        <w:tc>
          <w:tcPr>
            <w:tcW w:type="dxa" w:w="3360"/>
            <w:shd w:fill="F4F7F5"/>
          </w:tcPr>
          <w:p>
            <w:r>
              <w:rPr>
                <w:sz w:val="16"/>
              </w:rPr>
              <w:t>Prefer plain English, short sentences and explicit next steps.</w:t>
            </w:r>
          </w:p>
        </w:tc>
        <w:tc>
          <w:tcPr>
            <w:tcW w:type="dxa" w:w="3360"/>
            <w:shd w:fill="F4F7F5"/>
          </w:tcPr>
          <w:p>
            <w:r>
              <w:rPr>
                <w:sz w:val="16"/>
              </w:rPr>
              <w:t>Buzzword-heavy claims about AI replacing judgement.</w:t>
            </w:r>
          </w:p>
        </w:tc>
      </w:tr>
      <w:tr>
        <w:tc>
          <w:tcPr>
            <w:tcW w:type="dxa" w:w="3360"/>
          </w:tcPr>
          <w:p>
            <w:r>
              <w:rPr>
                <w:sz w:val="16"/>
              </w:rPr>
              <w:t>Trust-first</w:t>
            </w:r>
          </w:p>
        </w:tc>
        <w:tc>
          <w:tcPr>
            <w:tcW w:type="dxa" w:w="3360"/>
          </w:tcPr>
          <w:p>
            <w:r>
              <w:rPr>
                <w:sz w:val="16"/>
              </w:rPr>
              <w:t>Explain who sees information, why and with what permission.</w:t>
            </w:r>
          </w:p>
        </w:tc>
        <w:tc>
          <w:tcPr>
            <w:tcW w:type="dxa" w:w="3360"/>
          </w:tcPr>
          <w:p>
            <w:r>
              <w:rPr>
                <w:sz w:val="16"/>
              </w:rPr>
              <w:t>Implying private information is visible by default.</w:t>
            </w:r>
          </w:p>
        </w:tc>
      </w:tr>
    </w:tbl>
    <w:p>
      <w:pPr>
        <w:pStyle w:val="Heading1"/>
      </w:pPr>
      <w:r>
        <w:t>3. Visual identity</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2033"/>
          </w:tcPr>
          <w:p>
            <w:r>
              <w:rPr>
                <w:b/>
                <w:color w:val="FFFFFF"/>
              </w:rPr>
              <w:t>Element</w:t>
            </w:r>
          </w:p>
        </w:tc>
        <w:tc>
          <w:tcPr>
            <w:tcW w:type="dxa" w:w="5040"/>
            <w:shd w:fill="172033"/>
          </w:tcPr>
          <w:p>
            <w:r>
              <w:rPr>
                <w:b/>
                <w:color w:val="FFFFFF"/>
              </w:rPr>
              <w:t>Guideline</w:t>
            </w:r>
          </w:p>
        </w:tc>
      </w:tr>
      <w:tr>
        <w:tc>
          <w:tcPr>
            <w:tcW w:type="dxa" w:w="5040"/>
            <w:shd w:fill="F4F7F5"/>
          </w:tcPr>
          <w:p>
            <w:r>
              <w:rPr>
                <w:sz w:val="16"/>
              </w:rPr>
              <w:t>Primary navy</w:t>
            </w:r>
          </w:p>
        </w:tc>
        <w:tc>
          <w:tcPr>
            <w:tcW w:type="dxa" w:w="5040"/>
            <w:shd w:fill="F4F7F5"/>
          </w:tcPr>
          <w:p>
            <w:r>
              <w:rPr>
                <w:sz w:val="16"/>
              </w:rPr>
              <w:t xml:space="preserve"> #172033 — headings, navigation and high-contrast text.</w:t>
            </w:r>
          </w:p>
        </w:tc>
      </w:tr>
      <w:tr>
        <w:tc>
          <w:tcPr>
            <w:tcW w:type="dxa" w:w="5040"/>
          </w:tcPr>
          <w:p>
            <w:r>
              <w:rPr>
                <w:sz w:val="16"/>
              </w:rPr>
              <w:t>Primary green</w:t>
            </w:r>
          </w:p>
        </w:tc>
        <w:tc>
          <w:tcPr>
            <w:tcW w:type="dxa" w:w="5040"/>
          </w:tcPr>
          <w:p>
            <w:r>
              <w:rPr>
                <w:sz w:val="16"/>
              </w:rPr>
              <w:t>#087A55 — actions, highlights and key navigation states.</w:t>
            </w:r>
          </w:p>
        </w:tc>
      </w:tr>
      <w:tr>
        <w:tc>
          <w:tcPr>
            <w:tcW w:type="dxa" w:w="5040"/>
            <w:shd w:fill="F4F7F5"/>
          </w:tcPr>
          <w:p>
            <w:r>
              <w:rPr>
                <w:sz w:val="16"/>
              </w:rPr>
              <w:t>Mint</w:t>
            </w:r>
          </w:p>
        </w:tc>
        <w:tc>
          <w:tcPr>
            <w:tcW w:type="dxa" w:w="5040"/>
            <w:shd w:fill="F4F7F5"/>
          </w:tcPr>
          <w:p>
            <w:r>
              <w:rPr>
                <w:sz w:val="16"/>
              </w:rPr>
              <w:t>#EAF5EF — soft backgrounds and supportive panels.</w:t>
            </w:r>
          </w:p>
        </w:tc>
      </w:tr>
      <w:tr>
        <w:tc>
          <w:tcPr>
            <w:tcW w:type="dxa" w:w="5040"/>
          </w:tcPr>
          <w:p>
            <w:r>
              <w:rPr>
                <w:sz w:val="16"/>
              </w:rPr>
              <w:t>Neutral</w:t>
            </w:r>
          </w:p>
        </w:tc>
        <w:tc>
          <w:tcPr>
            <w:tcW w:type="dxa" w:w="5040"/>
          </w:tcPr>
          <w:p>
            <w:r>
              <w:rPr>
                <w:sz w:val="16"/>
              </w:rPr>
              <w:t>#F4F7F5 — cards and section backgrounds.</w:t>
            </w:r>
          </w:p>
        </w:tc>
      </w:tr>
      <w:tr>
        <w:tc>
          <w:tcPr>
            <w:tcW w:type="dxa" w:w="5040"/>
            <w:shd w:fill="F4F7F5"/>
          </w:tcPr>
          <w:p>
            <w:r>
              <w:rPr>
                <w:sz w:val="16"/>
              </w:rPr>
              <w:t>Accent gold</w:t>
            </w:r>
          </w:p>
        </w:tc>
        <w:tc>
          <w:tcPr>
            <w:tcW w:type="dxa" w:w="5040"/>
            <w:shd w:fill="F4F7F5"/>
          </w:tcPr>
          <w:p>
            <w:r>
              <w:rPr>
                <w:sz w:val="16"/>
              </w:rPr>
              <w:t>#D6A84F — sparingly for emphasis, never as small text on white.</w:t>
            </w:r>
          </w:p>
        </w:tc>
      </w:tr>
      <w:tr>
        <w:tc>
          <w:tcPr>
            <w:tcW w:type="dxa" w:w="5040"/>
          </w:tcPr>
          <w:p>
            <w:r>
              <w:rPr>
                <w:sz w:val="16"/>
              </w:rPr>
              <w:t>Typography</w:t>
            </w:r>
          </w:p>
        </w:tc>
        <w:tc>
          <w:tcPr>
            <w:tcW w:type="dxa" w:w="5040"/>
          </w:tcPr>
          <w:p>
            <w:r>
              <w:rPr>
                <w:sz w:val="16"/>
              </w:rPr>
              <w:t>Clean sans-serif; use a consistent hierarchy and generous line spacing.</w:t>
            </w:r>
          </w:p>
        </w:tc>
      </w:tr>
      <w:tr>
        <w:tc>
          <w:tcPr>
            <w:tcW w:type="dxa" w:w="5040"/>
            <w:shd w:fill="F4F7F5"/>
          </w:tcPr>
          <w:p>
            <w:r>
              <w:rPr>
                <w:sz w:val="16"/>
              </w:rPr>
              <w:t>Layout</w:t>
            </w:r>
          </w:p>
        </w:tc>
        <w:tc>
          <w:tcPr>
            <w:tcW w:type="dxa" w:w="5040"/>
            <w:shd w:fill="F4F7F5"/>
          </w:tcPr>
          <w:p>
            <w:r>
              <w:rPr>
                <w:sz w:val="16"/>
              </w:rPr>
              <w:t>Spacious, accessible, grid-aligned; prioritise legibility and mobile responsiveness.</w:t>
            </w:r>
          </w:p>
        </w:tc>
      </w:tr>
      <w:tr>
        <w:tc>
          <w:tcPr>
            <w:tcW w:type="dxa" w:w="5040"/>
          </w:tcPr>
          <w:p>
            <w:r>
              <w:rPr>
                <w:sz w:val="16"/>
              </w:rPr>
              <w:t>Logo</w:t>
            </w:r>
          </w:p>
        </w:tc>
        <w:tc>
          <w:tcPr>
            <w:tcW w:type="dxa" w:w="5040"/>
          </w:tcPr>
          <w:p>
            <w:r>
              <w:rPr>
                <w:sz w:val="16"/>
              </w:rPr>
              <w:t>Use approved original asset; preserve proportions and clear space; do not recolour/stretch without approval.</w:t>
            </w:r>
          </w:p>
        </w:tc>
      </w:tr>
    </w:tbl>
    <w:p>
      <w:pPr>
        <w:pStyle w:val="Heading1"/>
      </w:pPr>
      <w:r>
        <w:t>4. Accessibility and claims</w:t>
      </w:r>
    </w:p>
    <w:p>
      <w:pPr>
        <w:pStyle w:val="ListBullet"/>
      </w:pPr>
      <w:r>
        <w:t>Maintain readable contrast and do not use colour alone to convey status.</w:t>
      </w:r>
    </w:p>
    <w:p>
      <w:pPr>
        <w:pStyle w:val="ListBullet"/>
      </w:pPr>
      <w:r>
        <w:t>Use descriptive link/button labels, meaningful alt text and keyboard-accessible interactions.</w:t>
      </w:r>
    </w:p>
    <w:p>
      <w:pPr>
        <w:pStyle w:val="ListBullet"/>
      </w:pPr>
      <w:r>
        <w:t>Distinguish live capability, prototype, roadmap and hypothesis in public materials.</w:t>
      </w:r>
    </w:p>
    <w:p>
      <w:pPr>
        <w:pStyle w:val="ListBullet"/>
      </w:pPr>
      <w:r>
        <w:t>Do not publish student examples or outcomes without documented permission and a clear purpose.</w:t>
      </w:r>
    </w:p>
    <w:p>
      <w:pPr>
        <w:pStyle w:val="ListBullet"/>
      </w:pPr>
      <w:r>
        <w:t>Do not imply university/employer partnerships, certifications or customer traction unless signed and verified.</w:t>
      </w:r>
    </w:p>
    <w:p>
      <w:pPr>
        <w:pStyle w:val="Heading1"/>
      </w:pPr>
      <w:r>
        <w:t>5. Social media playbook</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72033"/>
          </w:tcPr>
          <w:p>
            <w:r>
              <w:rPr>
                <w:b/>
                <w:color w:val="FFFFFF"/>
              </w:rPr>
              <w:t>Content pillar</w:t>
            </w:r>
          </w:p>
        </w:tc>
        <w:tc>
          <w:tcPr>
            <w:tcW w:type="dxa" w:w="3360"/>
            <w:shd w:fill="172033"/>
          </w:tcPr>
          <w:p>
            <w:r>
              <w:rPr>
                <w:b/>
                <w:color w:val="FFFFFF"/>
              </w:rPr>
              <w:t>Example format</w:t>
            </w:r>
          </w:p>
        </w:tc>
        <w:tc>
          <w:tcPr>
            <w:tcW w:type="dxa" w:w="3360"/>
            <w:shd w:fill="172033"/>
          </w:tcPr>
          <w:p>
            <w:r>
              <w:rPr>
                <w:b/>
                <w:color w:val="FFFFFF"/>
              </w:rPr>
              <w:t>CTA / measurement</w:t>
            </w:r>
          </w:p>
        </w:tc>
      </w:tr>
      <w:tr>
        <w:tc>
          <w:tcPr>
            <w:tcW w:type="dxa" w:w="3360"/>
            <w:shd w:fill="F4F7F5"/>
          </w:tcPr>
          <w:p>
            <w:r>
              <w:rPr>
                <w:sz w:val="16"/>
              </w:rPr>
              <w:t>Problem insight</w:t>
            </w:r>
          </w:p>
        </w:tc>
        <w:tc>
          <w:tcPr>
            <w:tcW w:type="dxa" w:w="3360"/>
            <w:shd w:fill="F4F7F5"/>
          </w:tcPr>
          <w:p>
            <w:r>
              <w:rPr>
                <w:sz w:val="16"/>
              </w:rPr>
              <w:t>Short post about how CVs may not show project evidence; frame anecdote as anecdote</w:t>
            </w:r>
          </w:p>
        </w:tc>
        <w:tc>
          <w:tcPr>
            <w:tcW w:type="dxa" w:w="3360"/>
            <w:shd w:fill="F4F7F5"/>
          </w:tcPr>
          <w:p>
            <w:r>
              <w:rPr>
                <w:sz w:val="16"/>
              </w:rPr>
              <w:t>Invite discussion; meaningful comments and qualified conversations</w:t>
            </w:r>
          </w:p>
        </w:tc>
      </w:tr>
      <w:tr>
        <w:tc>
          <w:tcPr>
            <w:tcW w:type="dxa" w:w="3360"/>
          </w:tcPr>
          <w:p>
            <w:r>
              <w:rPr>
                <w:sz w:val="16"/>
              </w:rPr>
              <w:t>Build in public</w:t>
            </w:r>
          </w:p>
        </w:tc>
        <w:tc>
          <w:tcPr>
            <w:tcW w:type="dxa" w:w="3360"/>
          </w:tcPr>
          <w:p>
            <w:r>
              <w:rPr>
                <w:sz w:val="16"/>
              </w:rPr>
              <w:t>Feature walkthrough with prototype/production label</w:t>
            </w:r>
          </w:p>
        </w:tc>
        <w:tc>
          <w:tcPr>
            <w:tcW w:type="dxa" w:w="3360"/>
          </w:tcPr>
          <w:p>
            <w:r>
              <w:rPr>
                <w:sz w:val="16"/>
              </w:rPr>
              <w:t>Request feedback; demo requests and useful feedback</w:t>
            </w:r>
          </w:p>
        </w:tc>
      </w:tr>
      <w:tr>
        <w:tc>
          <w:tcPr>
            <w:tcW w:type="dxa" w:w="3360"/>
            <w:shd w:fill="F4F7F5"/>
          </w:tcPr>
          <w:p>
            <w:r>
              <w:rPr>
                <w:sz w:val="16"/>
              </w:rPr>
              <w:t>University value</w:t>
            </w:r>
          </w:p>
        </w:tc>
        <w:tc>
          <w:tcPr>
            <w:tcW w:type="dxa" w:w="3360"/>
            <w:shd w:fill="F4F7F5"/>
          </w:tcPr>
          <w:p>
            <w:r>
              <w:rPr>
                <w:sz w:val="16"/>
              </w:rPr>
              <w:t>Pilot learning, workflow or aggregate skill-gap insight (only when verified)</w:t>
            </w:r>
          </w:p>
        </w:tc>
        <w:tc>
          <w:tcPr>
            <w:tcW w:type="dxa" w:w="3360"/>
            <w:shd w:fill="F4F7F5"/>
          </w:tcPr>
          <w:p>
            <w:r>
              <w:rPr>
                <w:sz w:val="16"/>
              </w:rPr>
              <w:t>Book a discovery conversation; qualified meetings</w:t>
            </w:r>
          </w:p>
        </w:tc>
      </w:tr>
      <w:tr>
        <w:tc>
          <w:tcPr>
            <w:tcW w:type="dxa" w:w="3360"/>
          </w:tcPr>
          <w:p>
            <w:r>
              <w:rPr>
                <w:sz w:val="16"/>
              </w:rPr>
              <w:t>Student education</w:t>
            </w:r>
          </w:p>
        </w:tc>
        <w:tc>
          <w:tcPr>
            <w:tcW w:type="dxa" w:w="3360"/>
          </w:tcPr>
          <w:p>
            <w:r>
              <w:rPr>
                <w:sz w:val="16"/>
              </w:rPr>
              <w:t>Portfolio evidence, project reflection, skill-building checklist</w:t>
            </w:r>
          </w:p>
        </w:tc>
        <w:tc>
          <w:tcPr>
            <w:tcW w:type="dxa" w:w="3360"/>
          </w:tcPr>
          <w:p>
            <w:r>
              <w:rPr>
                <w:sz w:val="16"/>
              </w:rPr>
              <w:t>Try a checklist; saves and completion</w:t>
            </w:r>
          </w:p>
        </w:tc>
      </w:tr>
      <w:tr>
        <w:tc>
          <w:tcPr>
            <w:tcW w:type="dxa" w:w="3360"/>
            <w:shd w:fill="F4F7F5"/>
          </w:tcPr>
          <w:p>
            <w:r>
              <w:rPr>
                <w:sz w:val="16"/>
              </w:rPr>
              <w:t>Trust and transparency</w:t>
            </w:r>
          </w:p>
        </w:tc>
        <w:tc>
          <w:tcPr>
            <w:tcW w:type="dxa" w:w="3360"/>
            <w:shd w:fill="F4F7F5"/>
          </w:tcPr>
          <w:p>
            <w:r>
              <w:rPr>
                <w:sz w:val="16"/>
              </w:rPr>
              <w:t>Explain permissions, data handling and limits</w:t>
            </w:r>
          </w:p>
        </w:tc>
        <w:tc>
          <w:tcPr>
            <w:tcW w:type="dxa" w:w="3360"/>
            <w:shd w:fill="F4F7F5"/>
          </w:tcPr>
          <w:p>
            <w:r>
              <w:rPr>
                <w:sz w:val="16"/>
              </w:rPr>
              <w:t>Read policy / ask questions; trust-related feedback</w:t>
            </w:r>
          </w:p>
        </w:tc>
      </w:tr>
    </w:tbl>
    <w:p>
      <w:pPr>
        <w:pStyle w:val="Heading1"/>
      </w:pPr>
      <w:r>
        <w:t>6. Ready-to-adapt marketing copy</w:t>
      </w:r>
    </w:p>
    <w:p>
      <w:pPr>
        <w:pStyle w:val="Heading2"/>
      </w:pPr>
      <w:r>
        <w:t>A. University outreach email</w:t>
      </w:r>
    </w:p>
    <w:p>
      <w:r>
        <w:t>Subject: Exploring evidence-led student skill visibility at [Institution]</w:t>
      </w:r>
    </w:p>
    <w:p>
      <w:r>
        <w:t>Hello [Name],\n\nI’m reaching out from AptoHire. We are exploring ways for institutions to make student skills and project evidence easier to understand, support career-readiness initiatives, and connect relevant talent with opportunities. We would value a short discovery conversation to understand your current workflow, constraints and success measures. This is a learning conversation—not a claim that we can replace your existing systems.\n\nWould you be open to a 20-minute discussion next week?\n\nRegards,\n[Name] | AptoHire | [Contact]</w:t>
      </w:r>
    </w:p>
    <w:p>
      <w:pPr>
        <w:pStyle w:val="Heading2"/>
      </w:pPr>
      <w:r>
        <w:t>B. Employer discovery script</w:t>
      </w:r>
    </w:p>
    <w:p>
      <w:r>
        <w:t>“We’re researching how your team evaluates early-career candidates beyond the CV. Could you walk me through your current process, what evidence you trust, where time is lost, and what would make a new tool worth piloting? We’re not asking you to commit today; we want to understand the problem and your requirements.”</w:t>
      </w:r>
    </w:p>
    <w:p>
      <w:pPr>
        <w:pStyle w:val="Heading2"/>
      </w:pPr>
      <w:r>
        <w:t>C. Social post template</w:t>
      </w:r>
    </w:p>
    <w:p>
      <w:r>
        <w:t>A CV can summarise experience—but how easily can a reviewer verify what someone can actually do? At AptoHire, we’re exploring ways to make project and skill evidence clearer for students, institutions and employers. We’re still validating the best workflow, and we’d love to hear from university career teams and early-career recruiters: what evidence most changes your hiring decision?</w:t>
      </w:r>
    </w:p>
    <w:p>
      <w:pPr>
        <w:pStyle w:val="Heading1"/>
      </w:pPr>
      <w:r>
        <w:t>7. Content approval workflow</w:t>
      </w:r>
    </w:p>
    <w:p>
      <w:pPr>
        <w:pStyle w:val="ListNumber"/>
      </w:pPr>
      <w:r>
        <w:t>Growth drafts content and records the intended audience/claim.</w:t>
      </w:r>
    </w:p>
    <w:p>
      <w:pPr>
        <w:pStyle w:val="ListNumber"/>
      </w:pPr>
      <w:r>
        <w:t>Product/technical owner verifies capability statements and screenshots.</w:t>
      </w:r>
    </w:p>
    <w:p>
      <w:pPr>
        <w:pStyle w:val="ListNumber"/>
      </w:pPr>
      <w:r>
        <w:t>Partnership owner confirms names/logos and permission for any external organisation reference.</w:t>
      </w:r>
    </w:p>
    <w:p>
      <w:pPr>
        <w:pStyle w:val="ListNumber"/>
      </w:pPr>
      <w:r>
        <w:t>Privacy owner reviews student data, testimonials and sensitive examples.</w:t>
      </w:r>
    </w:p>
    <w:p>
      <w:pPr>
        <w:pStyle w:val="ListNumber"/>
      </w:pPr>
      <w:r>
        <w:t>Authorised approver signs off; store final copy, date, channel and source evidence.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AptoHire • Version 1.0 • Prepared 30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A55"/>
      </w:rPr>
      <w:t>APTOHIRE  |  INTERNAL WORKING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7A5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0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0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