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Data Room (VDR) Index &amp; Protocol</w:t>
      </w:r>
    </w:p>
    <w:p>
      <w:pPr>
        <w:pStyle w:val="Subtitle"/>
      </w:pPr>
      <w:r>
        <w:t>A controlled repository blueprint for investor due diligence</w:t>
      </w:r>
    </w:p>
    <w:p>
      <w:r>
        <w:t>Status: Proposed operating template. Confirm owners, facts, legal terms and approvals before adoption.</w:t>
      </w:r>
    </w:p>
    <w:p>
      <w:r>
        <w:t>This document defines a folder structure and access protocol; it does not create a hosted or secure VDR. Use an approved platform with MFA, access logs, expiry controls and named-user permissions.</w:t>
      </w:r>
    </w:p>
    <w:p>
      <w:pPr>
        <w:pStyle w:val="Heading1"/>
      </w:pPr>
      <w:r>
        <w:t>1. Suggested folder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Contents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Access / handling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00_Read_Me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Index, company overview, contact, document status and Q&amp;A protocol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All approved reviewers; no sensitive data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01_Corporate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Incorporation, constitutional documents, board/shareholder resolutions, registers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Restricted; redact personal identifiers where possible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02_Cap_Table_and_Fundraising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Current cap table, option pool, historical financing, draft term sheet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Founder + counsel + named investor reviewers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03_Finance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Management accounts, bank statements, budgets, forecasts, tax filings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Highly restricted; least privilege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04_Product_and_Technology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Architecture, roadmap, API docs, deployment/release evidence, dependencies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Redact credentials, secrets, private keys and exploit details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05_IP_and_Contracts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IP assignments, trademarks, open-source inventory, material contracts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Counsel review; verify chain of title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06_Customers_and_Market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Anonymised pilots, contracts, pipeline definitions, research and market sources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Remove unnecessary personal/customer data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07_People_and_ESOP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Org chart, employment templates, ESOP scheme, anonymised headcount/costs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Highly restricted; no unnecessary employee PII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08_Privacy_Security_Compliance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Policies, data map, vendor list, risk register, incident summary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Share only approved summaries; do not expose exploitable detail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09_Legal_and_Disputes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Material claims, litigation, regulatory correspondence, legal opinions if shareable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Counsel-controlled; privilege must be protected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10_Investor_QA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Questions, owner, response, evidence link, approval and status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Named Q&amp;A owner; preserve audit trail</w:t>
            </w:r>
          </w:p>
        </w:tc>
      </w:tr>
    </w:tbl>
    <w:p>
      <w:pPr>
        <w:pStyle w:val="Heading1"/>
      </w:pPr>
      <w:r>
        <w:t>2. Readiness status labels</w:t>
      </w:r>
    </w:p>
    <w:p>
      <w:pPr>
        <w:pStyle w:val="ListBullet"/>
      </w:pPr>
      <w:r>
        <w:t>Verified: reviewed against source records by a named owner.</w:t>
      </w:r>
    </w:p>
    <w:p>
      <w:pPr>
        <w:pStyle w:val="ListBullet"/>
      </w:pPr>
      <w:r>
        <w:t>Draft: incomplete or awaiting legal/finance/technical review.</w:t>
      </w:r>
    </w:p>
    <w:p>
      <w:pPr>
        <w:pStyle w:val="ListBullet"/>
      </w:pPr>
      <w:r>
        <w:t>Not applicable: reason documented and approved.</w:t>
      </w:r>
    </w:p>
    <w:p>
      <w:pPr>
        <w:pStyle w:val="ListBullet"/>
      </w:pPr>
      <w:r>
        <w:t>Unavailable: explicitly acknowledged; never create substitute evidence or imply it exists.</w:t>
      </w:r>
    </w:p>
    <w:p>
      <w:pPr>
        <w:pStyle w:val="Heading1"/>
      </w:pPr>
      <w:r>
        <w:t>3. Security protocol</w:t>
      </w:r>
    </w:p>
    <w:p>
      <w:pPr>
        <w:pStyle w:val="ListNumber"/>
      </w:pPr>
      <w:r>
        <w:t>Appoint one VDR administrator and one backup; use named accounts and MFA.</w:t>
      </w:r>
    </w:p>
    <w:p>
      <w:pPr>
        <w:pStyle w:val="ListNumber"/>
      </w:pPr>
      <w:r>
        <w:t>Use least-privilege groups; avoid public links and shared credentials.</w:t>
      </w:r>
    </w:p>
    <w:p>
      <w:pPr>
        <w:pStyle w:val="ListNumber"/>
      </w:pPr>
      <w:r>
        <w:t>Remove secrets, API keys, access tokens, student personal data and unnecessary employee/customer identifiers.</w:t>
      </w:r>
    </w:p>
    <w:p>
      <w:pPr>
        <w:pStyle w:val="ListNumber"/>
      </w:pPr>
      <w:r>
        <w:t>Use view-only/download restrictions where supported; watermark sensitive exports and set access expiry.</w:t>
      </w:r>
    </w:p>
    <w:p>
      <w:pPr>
        <w:pStyle w:val="ListNumber"/>
      </w:pPr>
      <w:r>
        <w:t>Maintain a file register: owner, version, date, classification, status and approval.</w:t>
      </w:r>
    </w:p>
    <w:p>
      <w:pPr>
        <w:pStyle w:val="ListNumber"/>
      </w:pPr>
      <w:r>
        <w:t>Route investor questions through a controlled log; answers must be consistent and evidence-backed.</w:t>
      </w:r>
    </w:p>
    <w:p>
      <w:pPr>
        <w:pStyle w:val="ListNumber"/>
      </w:pPr>
      <w:r>
        <w:t>Review access weekly during diligence and revoke access promptly when a process ends.</w:t>
      </w:r>
    </w:p>
    <w:p>
      <w:pPr>
        <w:pStyle w:val="ListNumber"/>
      </w:pPr>
      <w:r>
        <w:t>Record incidents and notify counsel/leadership immediately if data is misdirected or exposed.</w:t>
      </w:r>
    </w:p>
    <w:p>
      <w:pPr>
        <w:pStyle w:val="Heading1"/>
      </w:pPr>
      <w:r>
        <w:t>4. File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Example / placeholder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FIN-001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Title and folder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[Document title / folder]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[Named owner]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Version / as-of date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[v1.0 / YYYY-MM-DD]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Public / Internal / Confidential / Highly Restricted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Verified / Draft / Not applicable / Unavailable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[Approver and date]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Last access review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[Date]</w:t>
            </w:r>
          </w:p>
        </w:tc>
      </w:tr>
    </w:tbl>
    <w:p>
      <w:pPr>
        <w:pStyle w:val="Heading1"/>
      </w:pPr>
      <w:r>
        <w:t>5. Investor Q&amp;A log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Question ID</w:t>
            </w:r>
          </w:p>
        </w:tc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Evidence link</w:t>
            </w:r>
          </w:p>
        </w:tc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Status / due date</w:t>
            </w:r>
          </w:p>
        </w:tc>
        <w:tc>
          <w:tcPr>
            <w:tcW w:type="dxa" w:w="1680"/>
            <w:shd w:fill="172033"/>
          </w:tcPr>
          <w:p>
            <w:r>
              <w:rPr>
                <w:b/>
                <w:color w:val="FFFFFF"/>
              </w:rPr>
              <w:t>Approved answer</w:t>
            </w:r>
          </w:p>
        </w:tc>
      </w:tr>
      <w:tr>
        <w:tc>
          <w:tcPr>
            <w:tcW w:type="dxa" w:w="1680"/>
            <w:shd w:fill="F4F7F5"/>
          </w:tcPr>
          <w:p>
            <w:r>
              <w:rPr>
                <w:sz w:val="16"/>
              </w:rPr>
              <w:t>Q-001</w:t>
            </w:r>
          </w:p>
        </w:tc>
        <w:tc>
          <w:tcPr>
            <w:tcW w:type="dxa" w:w="1680"/>
            <w:shd w:fill="F4F7F5"/>
          </w:tcPr>
          <w:p>
            <w:r>
              <w:rPr>
                <w:sz w:val="16"/>
              </w:rPr>
              <w:t>[Question]</w:t>
            </w:r>
          </w:p>
        </w:tc>
        <w:tc>
          <w:tcPr>
            <w:tcW w:type="dxa" w:w="1680"/>
            <w:shd w:fill="F4F7F5"/>
          </w:tcPr>
          <w:p>
            <w:r>
              <w:rPr>
                <w:sz w:val="16"/>
              </w:rPr>
              <w:t>[Owner]</w:t>
            </w:r>
          </w:p>
        </w:tc>
        <w:tc>
          <w:tcPr>
            <w:tcW w:type="dxa" w:w="1680"/>
            <w:shd w:fill="F4F7F5"/>
          </w:tcPr>
          <w:p>
            <w:r>
              <w:rPr>
                <w:sz w:val="16"/>
              </w:rPr>
              <w:t>[File ID]</w:t>
            </w:r>
          </w:p>
        </w:tc>
        <w:tc>
          <w:tcPr>
            <w:tcW w:type="dxa" w:w="1680"/>
            <w:shd w:fill="F4F7F5"/>
          </w:tcPr>
          <w:p>
            <w:r>
              <w:rPr>
                <w:sz w:val="16"/>
              </w:rPr>
              <w:t>Open / [date]</w:t>
            </w:r>
          </w:p>
        </w:tc>
        <w:tc>
          <w:tcPr>
            <w:tcW w:type="dxa" w:w="1680"/>
            <w:shd w:fill="F4F7F5"/>
          </w:tcPr>
          <w:p>
            <w:r>
              <w:rPr>
                <w:sz w:val="16"/>
              </w:rPr>
              <w:t>[Answer after review]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AptoHire • Version 1.0 • Prepared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