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Indicative Term Sheet Template</w:t>
      </w:r>
    </w:p>
    <w:p>
      <w:pPr>
        <w:pStyle w:val="Subtitle"/>
      </w:pPr>
      <w:r>
        <w:t>Non-binding discussion framework for a potential equity financing</w:t>
      </w:r>
    </w:p>
    <w:p>
      <w:r>
        <w:t>Status: Proposed operating template. Confirm owners, facts, legal terms and approvals before adoption.</w:t>
      </w:r>
    </w:p>
    <w:p>
      <w:r>
        <w:t>This is a negotiation template, not an offer or final agreement. It is intentionally unfilled where facts are unknown. Most provisions should be reviewed by Indian startup counsel, tax adviser and company secretary. Binding status must be stated expressly; confidentiality, exclusivity, costs or other clauses may be binding if explicitly drafted as such.</w:t>
      </w:r>
    </w:p>
    <w:p>
      <w:pPr>
        <w:pStyle w:val="Heading1"/>
      </w:pPr>
      <w:r>
        <w:t>1. Parties and round</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2033"/>
          </w:tcPr>
          <w:p>
            <w:r>
              <w:rPr>
                <w:b/>
                <w:color w:val="FFFFFF"/>
              </w:rPr>
              <w:t>Term</w:t>
            </w:r>
          </w:p>
        </w:tc>
        <w:tc>
          <w:tcPr>
            <w:tcW w:type="dxa" w:w="5040"/>
            <w:shd w:fill="172033"/>
          </w:tcPr>
          <w:p>
            <w:r>
              <w:rPr>
                <w:b/>
                <w:color w:val="FFFFFF"/>
              </w:rPr>
              <w:t>Proposed entry</w:t>
            </w:r>
          </w:p>
        </w:tc>
      </w:tr>
      <w:tr>
        <w:tc>
          <w:tcPr>
            <w:tcW w:type="dxa" w:w="5040"/>
            <w:shd w:fill="F4F7F5"/>
          </w:tcPr>
          <w:p>
            <w:r>
              <w:rPr>
                <w:sz w:val="16"/>
              </w:rPr>
              <w:t>Company</w:t>
            </w:r>
          </w:p>
        </w:tc>
        <w:tc>
          <w:tcPr>
            <w:tcW w:type="dxa" w:w="5040"/>
            <w:shd w:fill="F4F7F5"/>
          </w:tcPr>
          <w:p>
            <w:r>
              <w:rPr>
                <w:sz w:val="16"/>
              </w:rPr>
              <w:t>[Full legal name, CIN, registered office]</w:t>
            </w:r>
          </w:p>
        </w:tc>
      </w:tr>
      <w:tr>
        <w:tc>
          <w:tcPr>
            <w:tcW w:type="dxa" w:w="5040"/>
          </w:tcPr>
          <w:p>
            <w:r>
              <w:rPr>
                <w:sz w:val="16"/>
              </w:rPr>
              <w:t>Investor(s)</w:t>
            </w:r>
          </w:p>
        </w:tc>
        <w:tc>
          <w:tcPr>
            <w:tcW w:type="dxa" w:w="5040"/>
          </w:tcPr>
          <w:p>
            <w:r>
              <w:rPr>
                <w:sz w:val="16"/>
              </w:rPr>
              <w:t>[Full legal name and details]</w:t>
            </w:r>
          </w:p>
        </w:tc>
      </w:tr>
      <w:tr>
        <w:tc>
          <w:tcPr>
            <w:tcW w:type="dxa" w:w="5040"/>
            <w:shd w:fill="F4F7F5"/>
          </w:tcPr>
          <w:p>
            <w:r>
              <w:rPr>
                <w:sz w:val="16"/>
              </w:rPr>
              <w:t>Instrument</w:t>
            </w:r>
          </w:p>
        </w:tc>
        <w:tc>
          <w:tcPr>
            <w:tcW w:type="dxa" w:w="5040"/>
            <w:shd w:fill="F4F7F5"/>
          </w:tcPr>
          <w:p>
            <w:r>
              <w:rPr>
                <w:sz w:val="16"/>
              </w:rPr>
              <w:t>[Equity shares / CCPS / other lawful instrument—counsel to confirm]</w:t>
            </w:r>
          </w:p>
        </w:tc>
      </w:tr>
      <w:tr>
        <w:tc>
          <w:tcPr>
            <w:tcW w:type="dxa" w:w="5040"/>
          </w:tcPr>
          <w:p>
            <w:r>
              <w:rPr>
                <w:sz w:val="16"/>
              </w:rPr>
              <w:t>Investment amount</w:t>
            </w:r>
          </w:p>
        </w:tc>
        <w:tc>
          <w:tcPr>
            <w:tcW w:type="dxa" w:w="5040"/>
          </w:tcPr>
          <w:p>
            <w:r>
              <w:rPr>
                <w:sz w:val="16"/>
              </w:rPr>
              <w:t>INR [●]</w:t>
            </w:r>
          </w:p>
        </w:tc>
      </w:tr>
      <w:tr>
        <w:tc>
          <w:tcPr>
            <w:tcW w:type="dxa" w:w="5040"/>
            <w:shd w:fill="F4F7F5"/>
          </w:tcPr>
          <w:p>
            <w:r>
              <w:rPr>
                <w:sz w:val="16"/>
              </w:rPr>
              <w:t>Pre-money valuation</w:t>
            </w:r>
          </w:p>
        </w:tc>
        <w:tc>
          <w:tcPr>
            <w:tcW w:type="dxa" w:w="5040"/>
            <w:shd w:fill="F4F7F5"/>
          </w:tcPr>
          <w:p>
            <w:r>
              <w:rPr>
                <w:sz w:val="16"/>
              </w:rPr>
              <w:t>INR [●]</w:t>
            </w:r>
          </w:p>
        </w:tc>
      </w:tr>
      <w:tr>
        <w:tc>
          <w:tcPr>
            <w:tcW w:type="dxa" w:w="5040"/>
          </w:tcPr>
          <w:p>
            <w:r>
              <w:rPr>
                <w:sz w:val="16"/>
              </w:rPr>
              <w:t>Post-money valuation</w:t>
            </w:r>
          </w:p>
        </w:tc>
        <w:tc>
          <w:tcPr>
            <w:tcW w:type="dxa" w:w="5040"/>
          </w:tcPr>
          <w:p>
            <w:r>
              <w:rPr>
                <w:sz w:val="16"/>
              </w:rPr>
              <w:t>INR [●]</w:t>
            </w:r>
          </w:p>
        </w:tc>
      </w:tr>
      <w:tr>
        <w:tc>
          <w:tcPr>
            <w:tcW w:type="dxa" w:w="5040"/>
            <w:shd w:fill="F4F7F5"/>
          </w:tcPr>
          <w:p>
            <w:r>
              <w:rPr>
                <w:sz w:val="16"/>
              </w:rPr>
              <w:t>Closing date / conditions</w:t>
            </w:r>
          </w:p>
        </w:tc>
        <w:tc>
          <w:tcPr>
            <w:tcW w:type="dxa" w:w="5040"/>
            <w:shd w:fill="F4F7F5"/>
          </w:tcPr>
          <w:p>
            <w:r>
              <w:rPr>
                <w:sz w:val="16"/>
              </w:rPr>
              <w:t>[Target date and conditions precedent]</w:t>
            </w:r>
          </w:p>
        </w:tc>
      </w:tr>
      <w:tr>
        <w:tc>
          <w:tcPr>
            <w:tcW w:type="dxa" w:w="5040"/>
          </w:tcPr>
          <w:p>
            <w:r>
              <w:rPr>
                <w:sz w:val="16"/>
              </w:rPr>
              <w:t>Use of proceeds</w:t>
            </w:r>
          </w:p>
        </w:tc>
        <w:tc>
          <w:tcPr>
            <w:tcW w:type="dxa" w:w="5040"/>
          </w:tcPr>
          <w:p>
            <w:r>
              <w:rPr>
                <w:sz w:val="16"/>
              </w:rPr>
              <w:t>[Product, hiring, pilots, go-to-market, working capital—approved budget]</w:t>
            </w:r>
          </w:p>
        </w:tc>
      </w:tr>
      <w:tr>
        <w:tc>
          <w:tcPr>
            <w:tcW w:type="dxa" w:w="5040"/>
            <w:shd w:fill="F4F7F5"/>
          </w:tcPr>
          <w:p>
            <w:r>
              <w:rPr>
                <w:sz w:val="16"/>
              </w:rPr>
              <w:t>Capitalisation basis</w:t>
            </w:r>
          </w:p>
        </w:tc>
        <w:tc>
          <w:tcPr>
            <w:tcW w:type="dxa" w:w="5040"/>
            <w:shd w:fill="F4F7F5"/>
          </w:tcPr>
          <w:p>
            <w:r>
              <w:rPr>
                <w:sz w:val="16"/>
              </w:rPr>
              <w:t>[Fully diluted definition, options, convertibles and pool treatment]</w:t>
            </w:r>
          </w:p>
        </w:tc>
      </w:tr>
      <w:tr>
        <w:tc>
          <w:tcPr>
            <w:tcW w:type="dxa" w:w="5040"/>
          </w:tcPr>
          <w:p>
            <w:r>
              <w:rPr>
                <w:sz w:val="16"/>
              </w:rPr>
              <w:t>Existing securities</w:t>
            </w:r>
          </w:p>
        </w:tc>
        <w:tc>
          <w:tcPr>
            <w:tcW w:type="dxa" w:w="5040"/>
          </w:tcPr>
          <w:p>
            <w:r>
              <w:rPr>
                <w:sz w:val="16"/>
              </w:rPr>
              <w:t>[List instruments and treatment]</w:t>
            </w:r>
          </w:p>
        </w:tc>
      </w:tr>
    </w:tbl>
    <w:p>
      <w:pPr>
        <w:pStyle w:val="Heading1"/>
      </w:pPr>
      <w:r>
        <w:t>2. Economic terms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2033"/>
          </w:tcPr>
          <w:p>
            <w:r>
              <w:rPr>
                <w:b/>
                <w:color w:val="FFFFFF"/>
              </w:rPr>
              <w:t>Topic</w:t>
            </w:r>
          </w:p>
        </w:tc>
        <w:tc>
          <w:tcPr>
            <w:tcW w:type="dxa" w:w="5040"/>
            <w:shd w:fill="172033"/>
          </w:tcPr>
          <w:p>
            <w:r>
              <w:rPr>
                <w:b/>
                <w:color w:val="FFFFFF"/>
              </w:rPr>
              <w:t>Negotiation field / considerations</w:t>
            </w:r>
          </w:p>
        </w:tc>
      </w:tr>
      <w:tr>
        <w:tc>
          <w:tcPr>
            <w:tcW w:type="dxa" w:w="5040"/>
            <w:shd w:fill="F4F7F5"/>
          </w:tcPr>
          <w:p>
            <w:r>
              <w:rPr>
                <w:sz w:val="16"/>
              </w:rPr>
              <w:t>Price per share / conversion price</w:t>
            </w:r>
          </w:p>
        </w:tc>
        <w:tc>
          <w:tcPr>
            <w:tcW w:type="dxa" w:w="5040"/>
            <w:shd w:fill="F4F7F5"/>
          </w:tcPr>
          <w:p>
            <w:r>
              <w:rPr>
                <w:sz w:val="16"/>
              </w:rPr>
              <w:t>[●]; ensure calculations reconcile to valuation and capitalisation definition.</w:t>
            </w:r>
          </w:p>
        </w:tc>
      </w:tr>
      <w:tr>
        <w:tc>
          <w:tcPr>
            <w:tcW w:type="dxa" w:w="5040"/>
          </w:tcPr>
          <w:p>
            <w:r>
              <w:rPr>
                <w:sz w:val="16"/>
              </w:rPr>
              <w:t>Option pool</w:t>
            </w:r>
          </w:p>
        </w:tc>
        <w:tc>
          <w:tcPr>
            <w:tcW w:type="dxa" w:w="5040"/>
          </w:tcPr>
          <w:p>
            <w:r>
              <w:rPr>
                <w:sz w:val="16"/>
              </w:rPr>
              <w:t>[Existing/new pool size and whether pre- or post-money; subject to approved ESOP plan].</w:t>
            </w:r>
          </w:p>
        </w:tc>
      </w:tr>
      <w:tr>
        <w:tc>
          <w:tcPr>
            <w:tcW w:type="dxa" w:w="5040"/>
            <w:shd w:fill="F4F7F5"/>
          </w:tcPr>
          <w:p>
            <w:r>
              <w:rPr>
                <w:sz w:val="16"/>
              </w:rPr>
              <w:t>Liquidation preference</w:t>
            </w:r>
          </w:p>
        </w:tc>
        <w:tc>
          <w:tcPr>
            <w:tcW w:type="dxa" w:w="5040"/>
            <w:shd w:fill="F4F7F5"/>
          </w:tcPr>
          <w:p>
            <w:r>
              <w:rPr>
                <w:sz w:val="16"/>
              </w:rPr>
              <w:t>[If any, multiple, participating/non-participating and seniority; counsel to draft].</w:t>
            </w:r>
          </w:p>
        </w:tc>
      </w:tr>
      <w:tr>
        <w:tc>
          <w:tcPr>
            <w:tcW w:type="dxa" w:w="5040"/>
          </w:tcPr>
          <w:p>
            <w:r>
              <w:rPr>
                <w:sz w:val="16"/>
              </w:rPr>
              <w:t>Anti-dilution</w:t>
            </w:r>
          </w:p>
        </w:tc>
        <w:tc>
          <w:tcPr>
            <w:tcW w:type="dxa" w:w="5040"/>
          </w:tcPr>
          <w:p>
            <w:r>
              <w:rPr>
                <w:sz w:val="16"/>
              </w:rPr>
              <w:t>[If any, broad-based weighted average or other agreed formula; carve-outs].</w:t>
            </w:r>
          </w:p>
        </w:tc>
      </w:tr>
      <w:tr>
        <w:tc>
          <w:tcPr>
            <w:tcW w:type="dxa" w:w="5040"/>
            <w:shd w:fill="F4F7F5"/>
          </w:tcPr>
          <w:p>
            <w:r>
              <w:rPr>
                <w:sz w:val="16"/>
              </w:rPr>
              <w:t>Dividends</w:t>
            </w:r>
          </w:p>
        </w:tc>
        <w:tc>
          <w:tcPr>
            <w:tcW w:type="dxa" w:w="5040"/>
            <w:shd w:fill="F4F7F5"/>
          </w:tcPr>
          <w:p>
            <w:r>
              <w:rPr>
                <w:sz w:val="16"/>
              </w:rPr>
              <w:t>[Rights, if any, and whether cumulative].</w:t>
            </w:r>
          </w:p>
        </w:tc>
      </w:tr>
      <w:tr>
        <w:tc>
          <w:tcPr>
            <w:tcW w:type="dxa" w:w="5040"/>
          </w:tcPr>
          <w:p>
            <w:r>
              <w:rPr>
                <w:sz w:val="16"/>
              </w:rPr>
              <w:t>Pro-rata / participation rights</w:t>
            </w:r>
          </w:p>
        </w:tc>
        <w:tc>
          <w:tcPr>
            <w:tcW w:type="dxa" w:w="5040"/>
          </w:tcPr>
          <w:p>
            <w:r>
              <w:rPr>
                <w:sz w:val="16"/>
              </w:rPr>
              <w:t>[Eligibility, thresholds, exceptions and process].</w:t>
            </w:r>
          </w:p>
        </w:tc>
      </w:tr>
      <w:tr>
        <w:tc>
          <w:tcPr>
            <w:tcW w:type="dxa" w:w="5040"/>
            <w:shd w:fill="F4F7F5"/>
          </w:tcPr>
          <w:p>
            <w:r>
              <w:rPr>
                <w:sz w:val="16"/>
              </w:rPr>
              <w:t>Founder vesting / transfer restrictions</w:t>
            </w:r>
          </w:p>
        </w:tc>
        <w:tc>
          <w:tcPr>
            <w:tcW w:type="dxa" w:w="5040"/>
            <w:shd w:fill="F4F7F5"/>
          </w:tcPr>
          <w:p>
            <w:r>
              <w:rPr>
                <w:sz w:val="16"/>
              </w:rPr>
              <w:t>[Only if agreed; treatment of existing vested ownership].</w:t>
            </w:r>
          </w:p>
        </w:tc>
      </w:tr>
    </w:tbl>
    <w:p>
      <w:pPr>
        <w:pStyle w:val="Heading1"/>
      </w:pPr>
      <w:r>
        <w:t>3. Governance and investor rights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2033"/>
          </w:tcPr>
          <w:p>
            <w:r>
              <w:rPr>
                <w:b/>
                <w:color w:val="FFFFFF"/>
              </w:rPr>
              <w:t>Topic</w:t>
            </w:r>
          </w:p>
        </w:tc>
        <w:tc>
          <w:tcPr>
            <w:tcW w:type="dxa" w:w="5040"/>
            <w:shd w:fill="172033"/>
          </w:tcPr>
          <w:p>
            <w:r>
              <w:rPr>
                <w:b/>
                <w:color w:val="FFFFFF"/>
              </w:rPr>
              <w:t>Negotiation field / considerations</w:t>
            </w:r>
          </w:p>
        </w:tc>
      </w:tr>
      <w:tr>
        <w:tc>
          <w:tcPr>
            <w:tcW w:type="dxa" w:w="5040"/>
            <w:shd w:fill="F4F7F5"/>
          </w:tcPr>
          <w:p>
            <w:r>
              <w:rPr>
                <w:sz w:val="16"/>
              </w:rPr>
              <w:t>Board composition</w:t>
            </w:r>
          </w:p>
        </w:tc>
        <w:tc>
          <w:tcPr>
            <w:tcW w:type="dxa" w:w="5040"/>
            <w:shd w:fill="F4F7F5"/>
          </w:tcPr>
          <w:p>
            <w:r>
              <w:rPr>
                <w:sz w:val="16"/>
              </w:rPr>
              <w:t>[Number of directors, appointment rights and observer rights].</w:t>
            </w:r>
          </w:p>
        </w:tc>
      </w:tr>
      <w:tr>
        <w:tc>
          <w:tcPr>
            <w:tcW w:type="dxa" w:w="5040"/>
          </w:tcPr>
          <w:p>
            <w:r>
              <w:rPr>
                <w:sz w:val="16"/>
              </w:rPr>
              <w:t>Reserved matters</w:t>
            </w:r>
          </w:p>
        </w:tc>
        <w:tc>
          <w:tcPr>
            <w:tcW w:type="dxa" w:w="5040"/>
          </w:tcPr>
          <w:p>
            <w:r>
              <w:rPr>
                <w:sz w:val="16"/>
              </w:rPr>
              <w:t>[Narrow, clearly defined list; thresholds and emergency exceptions].</w:t>
            </w:r>
          </w:p>
        </w:tc>
      </w:tr>
      <w:tr>
        <w:tc>
          <w:tcPr>
            <w:tcW w:type="dxa" w:w="5040"/>
            <w:shd w:fill="F4F7F5"/>
          </w:tcPr>
          <w:p>
            <w:r>
              <w:rPr>
                <w:sz w:val="16"/>
              </w:rPr>
              <w:t>Information rights</w:t>
            </w:r>
          </w:p>
        </w:tc>
        <w:tc>
          <w:tcPr>
            <w:tcW w:type="dxa" w:w="5040"/>
            <w:shd w:fill="F4F7F5"/>
          </w:tcPr>
          <w:p>
            <w:r>
              <w:rPr>
                <w:sz w:val="16"/>
              </w:rPr>
              <w:t>[Reporting cadence, financials, budget and inspection rights].</w:t>
            </w:r>
          </w:p>
        </w:tc>
      </w:tr>
      <w:tr>
        <w:tc>
          <w:tcPr>
            <w:tcW w:type="dxa" w:w="5040"/>
          </w:tcPr>
          <w:p>
            <w:r>
              <w:rPr>
                <w:sz w:val="16"/>
              </w:rPr>
              <w:t>Protective provisions</w:t>
            </w:r>
          </w:p>
        </w:tc>
        <w:tc>
          <w:tcPr>
            <w:tcW w:type="dxa" w:w="5040"/>
          </w:tcPr>
          <w:p>
            <w:r>
              <w:rPr>
                <w:sz w:val="16"/>
              </w:rPr>
              <w:t>[Voting thresholds and class consent; align with applicable law].</w:t>
            </w:r>
          </w:p>
        </w:tc>
      </w:tr>
      <w:tr>
        <w:tc>
          <w:tcPr>
            <w:tcW w:type="dxa" w:w="5040"/>
            <w:shd w:fill="F4F7F5"/>
          </w:tcPr>
          <w:p>
            <w:r>
              <w:rPr>
                <w:sz w:val="16"/>
              </w:rPr>
              <w:t>Founder / employee matters</w:t>
            </w:r>
          </w:p>
        </w:tc>
        <w:tc>
          <w:tcPr>
            <w:tcW w:type="dxa" w:w="5040"/>
            <w:shd w:fill="F4F7F5"/>
          </w:tcPr>
          <w:p>
            <w:r>
              <w:rPr>
                <w:sz w:val="16"/>
              </w:rPr>
              <w:t>[IP, confidentiality, non-solicitation and other terms only to extent lawful].</w:t>
            </w:r>
          </w:p>
        </w:tc>
      </w:tr>
      <w:tr>
        <w:tc>
          <w:tcPr>
            <w:tcW w:type="dxa" w:w="5040"/>
          </w:tcPr>
          <w:p>
            <w:r>
              <w:rPr>
                <w:sz w:val="16"/>
              </w:rPr>
              <w:t>Transfer / exit rights</w:t>
            </w:r>
          </w:p>
        </w:tc>
        <w:tc>
          <w:tcPr>
            <w:tcW w:type="dxa" w:w="5040"/>
          </w:tcPr>
          <w:p>
            <w:r>
              <w:rPr>
                <w:sz w:val="16"/>
              </w:rPr>
              <w:t>[ROFR, co-sale, drag/tag, IPO or sale process; triggers and safeguards].</w:t>
            </w:r>
          </w:p>
        </w:tc>
      </w:tr>
    </w:tbl>
    <w:p>
      <w:pPr>
        <w:pStyle w:val="Heading1"/>
      </w:pPr>
      <w:r>
        <w:t>4. Closing conditions and documentation</w:t>
      </w:r>
    </w:p>
    <w:p>
      <w:pPr>
        <w:pStyle w:val="ListBullet"/>
      </w:pPr>
      <w:r>
        <w:t>Satisfactory legal, financial, tax, product and IP diligence.</w:t>
      </w:r>
    </w:p>
    <w:p>
      <w:pPr>
        <w:pStyle w:val="ListBullet"/>
      </w:pPr>
      <w:r>
        <w:t>Board/shareholder approvals and required statutory filings.</w:t>
      </w:r>
    </w:p>
    <w:p>
      <w:pPr>
        <w:pStyle w:val="ListBullet"/>
      </w:pPr>
      <w:r>
        <w:t>Execution of definitive subscription/investment documents and shareholders’ agreement.</w:t>
      </w:r>
    </w:p>
    <w:p>
      <w:pPr>
        <w:pStyle w:val="ListBullet"/>
      </w:pPr>
      <w:r>
        <w:t>Updated cap table, constitutional documents and disclosure of material contracts/disputes.</w:t>
      </w:r>
    </w:p>
    <w:p>
      <w:pPr>
        <w:pStyle w:val="ListBullet"/>
      </w:pPr>
      <w:r>
        <w:t>Founder/employee IP chain-of-title review and material privacy/security issues disclosed.</w:t>
      </w:r>
    </w:p>
    <w:p>
      <w:pPr>
        <w:pStyle w:val="ListBullet"/>
      </w:pPr>
      <w:r>
        <w:t>No material misrepresentation; conditions and waivers expressly documented.</w:t>
      </w:r>
    </w:p>
    <w:p>
      <w:pPr>
        <w:pStyle w:val="Heading1"/>
      </w:pPr>
      <w:r>
        <w:t>5. Legal status and process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72033"/>
          </w:tcPr>
          <w:p>
            <w:r>
              <w:rPr>
                <w:b/>
                <w:color w:val="FFFFFF"/>
              </w:rPr>
              <w:t>Item</w:t>
            </w:r>
          </w:p>
        </w:tc>
        <w:tc>
          <w:tcPr>
            <w:tcW w:type="dxa" w:w="5040"/>
            <w:shd w:fill="172033"/>
          </w:tcPr>
          <w:p>
            <w:r>
              <w:rPr>
                <w:b/>
                <w:color w:val="FFFFFF"/>
              </w:rPr>
              <w:t>Entry</w:t>
            </w:r>
          </w:p>
        </w:tc>
      </w:tr>
      <w:tr>
        <w:tc>
          <w:tcPr>
            <w:tcW w:type="dxa" w:w="5040"/>
            <w:shd w:fill="F4F7F5"/>
          </w:tcPr>
          <w:p>
            <w:r>
              <w:rPr>
                <w:sz w:val="16"/>
              </w:rPr>
              <w:t>Binding provisions (if any)</w:t>
            </w:r>
          </w:p>
        </w:tc>
        <w:tc>
          <w:tcPr>
            <w:tcW w:type="dxa" w:w="5040"/>
            <w:shd w:fill="F4F7F5"/>
          </w:tcPr>
          <w:p>
            <w:r>
              <w:rPr>
                <w:sz w:val="16"/>
              </w:rPr>
              <w:t>[Specify exact clauses; otherwise state entire term sheet is non-binding except named clauses].</w:t>
            </w:r>
          </w:p>
        </w:tc>
      </w:tr>
      <w:tr>
        <w:tc>
          <w:tcPr>
            <w:tcW w:type="dxa" w:w="5040"/>
          </w:tcPr>
          <w:p>
            <w:r>
              <w:rPr>
                <w:sz w:val="16"/>
              </w:rPr>
              <w:t>Confidentiality</w:t>
            </w:r>
          </w:p>
        </w:tc>
        <w:tc>
          <w:tcPr>
            <w:tcW w:type="dxa" w:w="5040"/>
          </w:tcPr>
          <w:p>
            <w:r>
              <w:rPr>
                <w:sz w:val="16"/>
              </w:rPr>
              <w:t>[Scope, exclusions, duration and permitted disclosures].</w:t>
            </w:r>
          </w:p>
        </w:tc>
      </w:tr>
      <w:tr>
        <w:tc>
          <w:tcPr>
            <w:tcW w:type="dxa" w:w="5040"/>
            <w:shd w:fill="F4F7F5"/>
          </w:tcPr>
          <w:p>
            <w:r>
              <w:rPr>
                <w:sz w:val="16"/>
              </w:rPr>
              <w:t>Exclusivity / no-shop</w:t>
            </w:r>
          </w:p>
        </w:tc>
        <w:tc>
          <w:tcPr>
            <w:tcW w:type="dxa" w:w="5040"/>
            <w:shd w:fill="F4F7F5"/>
          </w:tcPr>
          <w:p>
            <w:r>
              <w:rPr>
                <w:sz w:val="16"/>
              </w:rPr>
              <w:t>[Optional; duration, scope, termination and carve-outs].</w:t>
            </w:r>
          </w:p>
        </w:tc>
      </w:tr>
      <w:tr>
        <w:tc>
          <w:tcPr>
            <w:tcW w:type="dxa" w:w="5040"/>
          </w:tcPr>
          <w:p>
            <w:r>
              <w:rPr>
                <w:sz w:val="16"/>
              </w:rPr>
              <w:t>Fees and expenses</w:t>
            </w:r>
          </w:p>
        </w:tc>
        <w:tc>
          <w:tcPr>
            <w:tcW w:type="dxa" w:w="5040"/>
          </w:tcPr>
          <w:p>
            <w:r>
              <w:rPr>
                <w:sz w:val="16"/>
              </w:rPr>
              <w:t>[Each party bears own costs / agreed cap].</w:t>
            </w:r>
          </w:p>
        </w:tc>
      </w:tr>
      <w:tr>
        <w:tc>
          <w:tcPr>
            <w:tcW w:type="dxa" w:w="5040"/>
            <w:shd w:fill="F4F7F5"/>
          </w:tcPr>
          <w:p>
            <w:r>
              <w:rPr>
                <w:sz w:val="16"/>
              </w:rPr>
              <w:t>Governing law / dispute forum</w:t>
            </w:r>
          </w:p>
        </w:tc>
        <w:tc>
          <w:tcPr>
            <w:tcW w:type="dxa" w:w="5040"/>
            <w:shd w:fill="F4F7F5"/>
          </w:tcPr>
          <w:p>
            <w:r>
              <w:rPr>
                <w:sz w:val="16"/>
              </w:rPr>
              <w:t>[Counsel to specify].</w:t>
            </w:r>
          </w:p>
        </w:tc>
      </w:tr>
      <w:tr>
        <w:tc>
          <w:tcPr>
            <w:tcW w:type="dxa" w:w="5040"/>
          </w:tcPr>
          <w:p>
            <w:r>
              <w:rPr>
                <w:sz w:val="16"/>
              </w:rPr>
              <w:t>Expiry date</w:t>
            </w:r>
          </w:p>
        </w:tc>
        <w:tc>
          <w:tcPr>
            <w:tcW w:type="dxa" w:w="5040"/>
          </w:tcPr>
          <w:p>
            <w:r>
              <w:rPr>
                <w:sz w:val="16"/>
              </w:rPr>
              <w:t>[Date and time].</w:t>
            </w:r>
          </w:p>
        </w:tc>
      </w:tr>
      <w:tr>
        <w:tc>
          <w:tcPr>
            <w:tcW w:type="dxa" w:w="5040"/>
            <w:shd w:fill="F4F7F5"/>
          </w:tcPr>
          <w:p>
            <w:r>
              <w:rPr>
                <w:sz w:val="16"/>
              </w:rPr>
              <w:t>Signatures</w:t>
            </w:r>
          </w:p>
        </w:tc>
        <w:tc>
          <w:tcPr>
            <w:tcW w:type="dxa" w:w="5040"/>
            <w:shd w:fill="F4F7F5"/>
          </w:tcPr>
          <w:p>
            <w:r>
              <w:rPr>
                <w:sz w:val="16"/>
              </w:rPr>
              <w:t>[Authorised signatories and date].</w:t>
            </w:r>
          </w:p>
        </w:tc>
      </w:tr>
    </w:tbl>
    <w:p>
      <w:r>
        <w:t>Do not populate valuation, investor rights, ownership or control terms by guesswork. Model the cap table under the exact proposed terms before signing.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AptoHire • Version 1.0 • Prepared 30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A55"/>
      </w:rPr>
      <w:t>APTOHIRE  |  INTERNAL WORKING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7A5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0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