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Shareholders’ Agreement (SHA) Framework</w:t>
      </w:r>
    </w:p>
    <w:p>
      <w:pPr>
        <w:pStyle w:val="Subtitle"/>
      </w:pPr>
      <w:r>
        <w:t>Clause checklist and drafting brief for company counsel</w:t>
      </w:r>
    </w:p>
    <w:p>
      <w:r>
        <w:t>Status: Proposed operating template. Confirm owners, facts, legal terms and approvals before adoption.</w:t>
      </w:r>
    </w:p>
    <w:p>
      <w:r>
        <w:t>This is a counsel-facing checklist, not an executable Shareholders’ Agreement. A SHA must be tailored to the company’s constitutional documents, share classes, financing instrument, Indian law and negotiated investor rights. Ensure consistency with the Articles of Association and required corporate approvals.</w:t>
      </w:r>
    </w:p>
    <w:p>
      <w:pPr>
        <w:pStyle w:val="Heading1"/>
      </w:pPr>
      <w:r>
        <w:t>1. Parties, capitalisation and definitions</w:t>
      </w:r>
    </w:p>
    <w:p>
      <w:pPr>
        <w:pStyle w:val="ListBullet"/>
      </w:pPr>
      <w:r>
        <w:t>Identify company, founders, investors and any joining shareholders.</w:t>
      </w:r>
    </w:p>
    <w:p>
      <w:pPr>
        <w:pStyle w:val="ListBullet"/>
      </w:pPr>
      <w:r>
        <w:t>Attach an agreed cap table and define fully diluted capitalisation, securities, affiliates, transfer and control.</w:t>
      </w:r>
    </w:p>
    <w:p>
      <w:pPr>
        <w:pStyle w:val="ListBullet"/>
      </w:pPr>
      <w:r>
        <w:t>State share classes, rights, paid-up capital and treatment of options/convertibles.</w:t>
      </w:r>
    </w:p>
    <w:p>
      <w:pPr>
        <w:pStyle w:val="ListBullet"/>
      </w:pPr>
      <w:r>
        <w:t>Identify the Articles of Association and process to align conflicting provisions.</w:t>
      </w:r>
    </w:p>
    <w:p>
      <w:pPr>
        <w:pStyle w:val="Heading1"/>
      </w:pPr>
      <w:r>
        <w:t>2. Governance and reserved matters</w:t>
      </w:r>
    </w:p>
    <w:p>
      <w:pPr>
        <w:pStyle w:val="ListBullet"/>
      </w:pPr>
      <w:r>
        <w:t>Board composition, appointment/removal rights, observer rights and quorum.</w:t>
      </w:r>
    </w:p>
    <w:p>
      <w:pPr>
        <w:pStyle w:val="ListBullet"/>
      </w:pPr>
      <w:r>
        <w:t>Board and shareholder meeting notice, voting and written resolutions.</w:t>
      </w:r>
    </w:p>
    <w:p>
      <w:pPr>
        <w:pStyle w:val="ListBullet"/>
      </w:pPr>
      <w:r>
        <w:t>Reserved matters with precise scope, monetary thresholds, sunset and emergency exceptions.</w:t>
      </w:r>
    </w:p>
    <w:p>
      <w:pPr>
        <w:pStyle w:val="ListBullet"/>
      </w:pPr>
      <w:r>
        <w:t>Budget approval, annual plan, related-party transactions and conflict-of-interest process.</w:t>
      </w:r>
    </w:p>
    <w:p>
      <w:pPr>
        <w:pStyle w:val="ListBullet"/>
      </w:pPr>
      <w:r>
        <w:t>Avoid giving a veto over ordinary operational matters unless intentionally negotiated.</w:t>
      </w:r>
    </w:p>
    <w:p>
      <w:pPr>
        <w:pStyle w:val="Heading1"/>
      </w:pPr>
      <w:r>
        <w:t>3. Economic and investor protections</w:t>
      </w:r>
    </w:p>
    <w:p>
      <w:pPr>
        <w:pStyle w:val="ListBullet"/>
      </w:pPr>
      <w:r>
        <w:t>Information and inspection rights with confidentiality and privacy guardrails.</w:t>
      </w:r>
    </w:p>
    <w:p>
      <w:pPr>
        <w:pStyle w:val="ListBullet"/>
      </w:pPr>
      <w:r>
        <w:t>Pre-emption/pro-rata rights, new securities and permitted issuance exceptions.</w:t>
      </w:r>
    </w:p>
    <w:p>
      <w:pPr>
        <w:pStyle w:val="ListBullet"/>
      </w:pPr>
      <w:r>
        <w:t>Liquidation preference and distribution waterfall, if any.</w:t>
      </w:r>
    </w:p>
    <w:p>
      <w:pPr>
        <w:pStyle w:val="ListBullet"/>
      </w:pPr>
      <w:r>
        <w:t>Anti-dilution mechanism, triggers and carve-outs, if any.</w:t>
      </w:r>
    </w:p>
    <w:p>
      <w:pPr>
        <w:pStyle w:val="ListBullet"/>
      </w:pPr>
      <w:r>
        <w:t>Dividend policy and treatment of future financing rounds.</w:t>
      </w:r>
    </w:p>
    <w:p>
      <w:pPr>
        <w:pStyle w:val="ListBullet"/>
      </w:pPr>
      <w:r>
        <w:t>Rights must be reflected consistently across term sheet, SHA, subscription documents and constitutional documents.</w:t>
      </w:r>
    </w:p>
    <w:p>
      <w:pPr>
        <w:pStyle w:val="Heading1"/>
      </w:pPr>
      <w:r>
        <w:t>4. Transfers and exit</w:t>
      </w:r>
    </w:p>
    <w:p>
      <w:pPr>
        <w:pStyle w:val="ListBullet"/>
      </w:pPr>
      <w:r>
        <w:t>Founder lock-in and permitted transfers, if agreed and lawful.</w:t>
      </w:r>
    </w:p>
    <w:p>
      <w:pPr>
        <w:pStyle w:val="ListBullet"/>
      </w:pPr>
      <w:r>
        <w:t>Right of first refusal / offer, co-sale (tag-along) and drag-along mechanics.</w:t>
      </w:r>
    </w:p>
    <w:p>
      <w:pPr>
        <w:pStyle w:val="ListBullet"/>
      </w:pPr>
      <w:r>
        <w:t>Minimum sale thresholds, notice periods, same-terms protections and liability caps.</w:t>
      </w:r>
    </w:p>
    <w:p>
      <w:pPr>
        <w:pStyle w:val="ListBullet"/>
      </w:pPr>
      <w:r>
        <w:t>IPO, strategic sale, dissolution and other exit scenarios.</w:t>
      </w:r>
    </w:p>
    <w:p>
      <w:pPr>
        <w:pStyle w:val="ListBullet"/>
      </w:pPr>
      <w:r>
        <w:t>Death, incapacity, insolvency or employment departure treatment where appropriate.</w:t>
      </w:r>
    </w:p>
    <w:p>
      <w:pPr>
        <w:pStyle w:val="Heading1"/>
      </w:pPr>
      <w:r>
        <w:t>5. Founder and company obligations</w:t>
      </w:r>
    </w:p>
    <w:p>
      <w:pPr>
        <w:pStyle w:val="ListBullet"/>
      </w:pPr>
      <w:r>
        <w:t>IP assignment and confirmation of chain of title; confidentiality and lawful restrictions.</w:t>
      </w:r>
    </w:p>
    <w:p>
      <w:pPr>
        <w:pStyle w:val="ListBullet"/>
      </w:pPr>
      <w:r>
        <w:t>Founder service arrangements, vesting/reverse vesting and good-leaver/bad-leaver definitions if negotiated.</w:t>
      </w:r>
    </w:p>
    <w:p>
      <w:pPr>
        <w:pStyle w:val="ListBullet"/>
      </w:pPr>
      <w:r>
        <w:t>Compliance with law, accounts, taxes, licences, data protection and security obligations.</w:t>
      </w:r>
    </w:p>
    <w:p>
      <w:pPr>
        <w:pStyle w:val="ListBullet"/>
      </w:pPr>
      <w:r>
        <w:t>Representations, warranties, disclosures, indemnities, caps, baskets, survival and mitigation.</w:t>
      </w:r>
    </w:p>
    <w:p>
      <w:pPr>
        <w:pStyle w:val="ListBullet"/>
      </w:pPr>
      <w:r>
        <w:t>Insurance, record keeping, employee incentive plan and delegated authority.</w:t>
      </w:r>
    </w:p>
    <w:p>
      <w:pPr>
        <w:pStyle w:val="Heading1"/>
      </w:pPr>
      <w:r>
        <w:t>6. Dispute and enforcement</w:t>
      </w:r>
    </w:p>
    <w:p>
      <w:pPr>
        <w:pStyle w:val="ListBullet"/>
      </w:pPr>
      <w:r>
        <w:t>Escalation, mediation/arbitration or court forum, seat/venue, language and interim relief.</w:t>
      </w:r>
    </w:p>
    <w:p>
      <w:pPr>
        <w:pStyle w:val="ListBullet"/>
      </w:pPr>
      <w:r>
        <w:t>Governing law, notices, amendment and waiver requirements.</w:t>
      </w:r>
    </w:p>
    <w:p>
      <w:pPr>
        <w:pStyle w:val="ListBullet"/>
      </w:pPr>
      <w:r>
        <w:t>Confidentiality, severability, entire agreement, counterparts and electronic execution.</w:t>
      </w:r>
    </w:p>
    <w:p>
      <w:pPr>
        <w:pStyle w:val="ListBullet"/>
      </w:pPr>
      <w:r>
        <w:t>Term, termination events and clauses that survive termination.</w:t>
      </w:r>
    </w:p>
    <w:p>
      <w:pPr>
        <w:pStyle w:val="ListBullet"/>
      </w:pPr>
      <w:r>
        <w:t>Accession deed for new shareholders and a process for future amendments.</w:t>
      </w:r>
    </w:p>
    <w:p>
      <w:pPr>
        <w:pStyle w:val="Heading1"/>
      </w:pPr>
      <w:r>
        <w:t>7. Counsel deliverables checklist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Owner / status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Final cap table and financing model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[Finance / pending]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Term sheet and negotiation points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[Founder + investor / pending]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Company constitutional documents review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[Counsel / pending]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Subscription / investment agreement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[Counsel / pending]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SHA aligned with Articles of Association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[Counsel / pending]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Board and shareholder resolutions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[Company secretary / pending]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Regulatory filings and statutory registers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[Company secretary / pending]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Tax, valuation and instrument review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[Tax adviser / pending]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IP chain-of-title and employment documentation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[Counsel / pending]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Closing checklist and post-closing calendar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[Counsel / pending]</w:t>
            </w:r>
          </w:p>
        </w:tc>
      </w:tr>
    </w:tbl>
    <w:p>
      <w:pPr>
        <w:pStyle w:val="Heading1"/>
      </w:pPr>
      <w:r>
        <w:t>8. Negotiation questions to answer before drafting</w:t>
      </w:r>
    </w:p>
    <w:p>
      <w:pPr>
        <w:pStyle w:val="ListNumber"/>
      </w:pPr>
      <w:r>
        <w:t>What is the company’s legal entity type and jurisdiction?</w:t>
      </w:r>
    </w:p>
    <w:p>
      <w:pPr>
        <w:pStyle w:val="ListNumber"/>
      </w:pPr>
      <w:r>
        <w:t>What exact instrument is being issued and at what price?</w:t>
      </w:r>
    </w:p>
    <w:p>
      <w:pPr>
        <w:pStyle w:val="ListNumber"/>
      </w:pPr>
      <w:r>
        <w:t>What is the fully diluted cap table immediately before and after closing?</w:t>
      </w:r>
    </w:p>
    <w:p>
      <w:pPr>
        <w:pStyle w:val="ListNumber"/>
      </w:pPr>
      <w:r>
        <w:t>Which investor protections are essential, and which should sunset?</w:t>
      </w:r>
    </w:p>
    <w:p>
      <w:pPr>
        <w:pStyle w:val="ListNumber"/>
      </w:pPr>
      <w:r>
        <w:t>Who controls board composition and which matters require consent?</w:t>
      </w:r>
    </w:p>
    <w:p>
      <w:pPr>
        <w:pStyle w:val="ListNumber"/>
      </w:pPr>
      <w:r>
        <w:t>What exit and transfer outcomes are acceptable to founders and investors?</w:t>
      </w:r>
    </w:p>
    <w:p>
      <w:pPr>
        <w:pStyle w:val="ListNumber"/>
      </w:pPr>
      <w:r>
        <w:t>What data, IP, customer, litigation or regulatory risks must be disclosed?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AptoHire • Version 1.0 • Prepared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A55"/>
      </w:rPr>
      <w:t>APTOHIRE  |  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