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PKYDrip 产品化网站升级实施方案</w:t>
      </w:r>
    </w:p>
    <w:p>
      <w:r>
        <w:rPr>
          <w:b/>
          <w:sz w:val="24"/>
        </w:rPr>
        <w:t>标准产品体系  OEM边界  网站信息架构  资料补齐  实施计划</w:t>
      </w:r>
    </w:p>
    <w:p>
      <w:pPr>
        <w:pStyle w:val="Smallnote"/>
      </w:pPr>
      <w:r>
        <w:t>版本 V1.0   日期 2026年10月21日   用途 内部决策与执行</w:t>
      </w:r>
    </w:p>
    <w:p/>
    <w:p>
      <w:r>
        <w:t>本方案用于把PKYDrip现有网站从概念和平台优先的表达，调整为标准产品优先的销售结构。网站保留既有URL、多语言、SEO与广告资产，不进行推翻式重做。核心产品以固定型号、固定照片、确认参数、供货边界、MOQ和交期为主要内容；OEM、深度定制与第三方设备接入集中到独立合作体系。</w:t>
      </w:r>
    </w:p>
    <w:p>
      <w:r>
        <w:t>主要结论：可以立即开始资料盘点、型号冻结、页面模板和产品目录设计。第一批页面上线前必须确认正式型号、关键参数、真实照片、MOQ、典型交期、认证状态和质保边界。</w:t>
      </w:r>
    </w:p>
    <w:p>
      <w:pPr>
        <w:pStyle w:val="Heading1"/>
      </w:pPr>
      <w:r>
        <w:t>管理摘要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1814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969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决定</w:t>
            </w:r>
          </w:p>
        </w:tc>
        <w:tc>
          <w:tcPr>
            <w:tcW w:type="dxa" w:w="3402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经营目的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网站升级方式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保留现有网站和URL，分批调整内容与导航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保护SEO、Ads和多语言资产</w:t>
            </w:r>
          </w:p>
        </w:tc>
      </w:tr>
      <w:tr>
        <w:tc>
          <w:tcPr>
            <w:tcW w:type="dxa" w:w="181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销售主线</w:t>
            </w:r>
          </w:p>
        </w:tc>
        <w:tc>
          <w:tcPr>
            <w:tcW w:type="dxa" w:w="3969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标准型号与标准组合优先</w:t>
            </w:r>
          </w:p>
        </w:tc>
        <w:tc>
          <w:tcPr>
            <w:tcW w:type="dxa" w:w="3402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提高报价速度与成交确定性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产品数量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首页少而精，产品目录完整覆盖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降低客户理解成本</w:t>
            </w:r>
          </w:p>
        </w:tc>
      </w:tr>
      <w:tr>
        <w:tc>
          <w:tcPr>
            <w:tcW w:type="dxa" w:w="181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OEM表达</w:t>
            </w:r>
          </w:p>
        </w:tc>
        <w:tc>
          <w:tcPr>
            <w:tcW w:type="dxa" w:w="3969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独立页面与独立评审，不在每个产品页重复承诺</w:t>
            </w:r>
          </w:p>
        </w:tc>
        <w:tc>
          <w:tcPr>
            <w:tcW w:type="dxa" w:w="3402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控制低价值定制和开发成本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MOQ规则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标准型号可低MOQ，定制有单独MOQ和工程条件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避免无条件定制</w:t>
            </w:r>
          </w:p>
        </w:tc>
      </w:tr>
      <w:tr>
        <w:tc>
          <w:tcPr>
            <w:tcW w:type="dxa" w:w="181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平台表达</w:t>
            </w:r>
          </w:p>
        </w:tc>
        <w:tc>
          <w:tcPr>
            <w:tcW w:type="dxa" w:w="3969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作为合作与技术证据，不占首页主要决策路径</w:t>
            </w:r>
          </w:p>
        </w:tc>
        <w:tc>
          <w:tcPr>
            <w:tcW w:type="dxa" w:w="3402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保留技术优势但不压过产品</w:t>
            </w:r>
          </w:p>
        </w:tc>
      </w:tr>
    </w:tbl>
    <w:p>
      <w:pPr>
        <w:pStyle w:val="Smallnote"/>
      </w:pPr>
    </w:p>
    <w:p>
      <w:pPr>
        <w:pStyle w:val="Heading1"/>
      </w:pPr>
      <w:r>
        <w:t>1 项目目标与适用范围</w:t>
      </w:r>
    </w:p>
    <w:p>
      <w:r>
        <w:t>本项目覆盖首页、产品目录、重点产品页、解决方案页、OEM与合作伙伴页面、开放平台、资料下载、询价路径和转化追踪。现有系统页和概念页保留，但降低其在客户决策路径中的优先级。</w:t>
      </w:r>
    </w:p>
    <w:p>
      <w:pPr>
        <w:pStyle w:val="ListBullet"/>
      </w:pPr>
      <w:r>
        <w:t>少接低价值定制</w:t>
      </w:r>
    </w:p>
    <w:p>
      <w:pPr>
        <w:pStyle w:val="ListBullet"/>
      </w:pPr>
      <w:r>
        <w:t>多卖标准型号</w:t>
      </w:r>
    </w:p>
    <w:p>
      <w:pPr>
        <w:pStyle w:val="ListBullet"/>
      </w:pPr>
      <w:r>
        <w:t>多卖标准组合</w:t>
      </w:r>
    </w:p>
    <w:p>
      <w:pPr>
        <w:pStyle w:val="ListBullet"/>
      </w:pPr>
      <w:r>
        <w:t>缩短报价时间</w:t>
      </w:r>
    </w:p>
    <w:p>
      <w:pPr>
        <w:pStyle w:val="ListBullet"/>
      </w:pPr>
      <w:r>
        <w:t>统一销售说法</w:t>
      </w:r>
    </w:p>
    <w:p>
      <w:pPr>
        <w:pStyle w:val="ListBullet"/>
      </w:pPr>
      <w:r>
        <w:t>明确每个型号的毛利</w:t>
      </w:r>
    </w:p>
    <w:p>
      <w:pPr>
        <w:pStyle w:val="ListBullet"/>
      </w:pPr>
      <w:r>
        <w:t>用MOQ和商业条件过滤无效询盘</w:t>
      </w:r>
    </w:p>
    <w:p>
      <w:pPr>
        <w:pStyle w:val="Heading1"/>
      </w:pPr>
      <w:r>
        <w:t>2 产品与商业原则</w:t>
      </w:r>
    </w:p>
    <w:p>
      <w:pPr>
        <w:pStyle w:val="Heading2"/>
      </w:pPr>
      <w:r>
        <w:t>2.1 标准产品优先</w:t>
      </w:r>
    </w:p>
    <w:p>
      <w:r>
        <w:t>每个公开型号必须可以重复生产、重复报价和重复交付。最低资料集包括型号、真实照片、标准配置、可选配置、接口、电压、供货边界、MOQ、典型交期、包装、质保和认证状态。</w:t>
      </w:r>
    </w:p>
    <w:p>
      <w:pPr>
        <w:pStyle w:val="Heading2"/>
      </w:pPr>
      <w:r>
        <w:t>2.2 支持定制但有条件</w:t>
      </w:r>
    </w:p>
    <w:p>
      <w:r>
        <w:t>产品页只说明标准产品支持项目选项。贴牌、包装、语言、固件、硬件、协议、私有部署和联合开发进入OEM或合作伙伴评审。网站不使用“任何功能均可定制”或“兼容所有设备”等无边界表述。</w:t>
      </w:r>
    </w:p>
    <w:p>
      <w:pPr>
        <w:pStyle w:val="Heading2"/>
      </w:pPr>
      <w:r>
        <w:t>2.3 MOQ规则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1701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订单类型</w:t>
            </w:r>
          </w:p>
        </w:tc>
        <w:tc>
          <w:tcPr>
            <w:tcW w:type="dxa" w:w="3685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适用内容</w:t>
            </w:r>
          </w:p>
        </w:tc>
        <w:tc>
          <w:tcPr>
            <w:tcW w:type="dxa" w:w="3798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基本规则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标准产品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现有型号、现有外观、现有软件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可提供较低MOQ，按型号确认</w:t>
            </w:r>
          </w:p>
        </w:tc>
      </w:tr>
      <w:tr>
        <w:tc>
          <w:tcPr>
            <w:tcW w:type="dxa" w:w="170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轻度定制</w:t>
            </w:r>
          </w:p>
        </w:tc>
        <w:tc>
          <w:tcPr>
            <w:tcW w:type="dxa" w:w="368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Logo、铭牌、包装、语言、预设参数</w:t>
            </w:r>
          </w:p>
        </w:tc>
        <w:tc>
          <w:tcPr>
            <w:tcW w:type="dxa" w:w="379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单独MOQ，可收样品、制版或配置费用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深度OEM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外壳、PCB、固件、UI、协议、云平台、电气结构</w:t>
            </w:r>
          </w:p>
        </w:tc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技术评审后确定MOQ、NRE、样机费和周期</w:t>
            </w:r>
          </w:p>
        </w:tc>
      </w:tr>
    </w:tbl>
    <w:p>
      <w:pPr>
        <w:pStyle w:val="Smallnote"/>
      </w:pPr>
    </w:p>
    <w:p>
      <w:pPr>
        <w:pStyle w:val="Heading1"/>
      </w:pPr>
      <w:r>
        <w:t>3 产品组合</w:t>
      </w:r>
    </w:p>
    <w:p>
      <w:pPr>
        <w:pStyle w:val="Heading2"/>
      </w:pPr>
      <w:r>
        <w:t>3.1 A系列核心标准产品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1871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2721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建议定位</w:t>
            </w:r>
          </w:p>
        </w:tc>
        <w:tc>
          <w:tcPr>
            <w:tcW w:type="dxa" w:w="2381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当前资料状态</w:t>
            </w:r>
          </w:p>
        </w:tc>
        <w:tc>
          <w:tcPr>
            <w:tcW w:type="dxa" w:w="2835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上线前关键确认</w:t>
            </w:r>
          </w:p>
        </w:tc>
      </w:tr>
      <w:t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智能版灌溉控制器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Linux工业计算平台加STM32实时控制，工业级联网与扩展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Grow 16页面较完整，缺固定照片与正式资料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正式型号；4G和RJ45是否标准；接口、尺寸、MOQ、交期</w:t>
            </w:r>
          </w:p>
        </w:tc>
      </w:tr>
      <w:tr>
        <w:tc>
          <w:tcPr>
            <w:tcW w:type="dxa" w:w="187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本地版灌溉控制器</w:t>
            </w:r>
          </w:p>
        </w:tc>
        <w:tc>
          <w:tcPr>
            <w:tcW w:type="dxa" w:w="272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STM32加工业组态屏，低成本、不联网、现场独立运行</w:t>
            </w:r>
          </w:p>
        </w:tc>
        <w:tc>
          <w:tcPr>
            <w:tcW w:type="dxa" w:w="238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MC-16 Local页面较完整</w:t>
            </w:r>
          </w:p>
        </w:tc>
        <w:tc>
          <w:tcPr>
            <w:tcW w:type="dxa" w:w="283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正式型号；AC/DC输出；尺寸、端子、MOQ、交期</w:t>
            </w:r>
          </w:p>
        </w:tc>
      </w:tr>
      <w:t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大流量基本型水肥机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大田、果园和较大流量灌溉系统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FG301有旧页面和单张照片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与蠕动泵版区分；确认泵、流量、扬程、电压和供货边界</w:t>
            </w:r>
          </w:p>
        </w:tc>
      </w:tr>
      <w:tr>
        <w:tc>
          <w:tcPr>
            <w:tcW w:type="dxa" w:w="187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蠕动泵两肥一酸</w:t>
            </w:r>
          </w:p>
        </w:tc>
        <w:tc>
          <w:tcPr>
            <w:tcW w:type="dxa" w:w="272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小型实验室和小型温室精细加肥</w:t>
            </w:r>
          </w:p>
        </w:tc>
        <w:tc>
          <w:tcPr>
            <w:tcW w:type="dxa" w:w="238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缺独立正式页面与完整资料</w:t>
            </w:r>
          </w:p>
        </w:tc>
        <w:tc>
          <w:tcPr>
            <w:tcW w:type="dxa" w:w="283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正式型号；泵流量、精度、桶体、EC/pH范围</w:t>
            </w:r>
          </w:p>
        </w:tc>
      </w:tr>
      <w:t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蠕动泵三肥一酸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小型实验室和小型温室较复杂配方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FG401现有页面与新定义冲突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重建参数；确认是否包含EC/pH闭环</w:t>
            </w:r>
          </w:p>
        </w:tc>
      </w:tr>
      <w:tr>
        <w:tc>
          <w:tcPr>
            <w:tcW w:type="dxa" w:w="187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PKY-ECpH-301</w:t>
            </w:r>
          </w:p>
        </w:tc>
        <w:tc>
          <w:tcPr>
            <w:tcW w:type="dxa" w:w="272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现有灌溉或水肥系统的EC/pH闭环控制模块</w:t>
            </w:r>
          </w:p>
        </w:tc>
        <w:tc>
          <w:tcPr>
            <w:tcW w:type="dxa" w:w="238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页面结构可用，参数和照片不足</w:t>
            </w:r>
          </w:p>
        </w:tc>
        <w:tc>
          <w:tcPr>
            <w:tcW w:type="dxa" w:w="283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探头、精度、校准、输出、接口、尺寸和供货范围</w:t>
            </w:r>
          </w:p>
        </w:tc>
      </w:tr>
      <w:t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PKY-ECpH-501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四肥一酸、混肥桶、双EC/pH和配方管理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现有FG501内容可借用但身份冲突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正式型号、桶容积、双检测位置、标准配置与照片</w:t>
            </w:r>
          </w:p>
        </w:tc>
      </w:tr>
    </w:tbl>
    <w:p>
      <w:pPr>
        <w:pStyle w:val="Smallnote"/>
      </w:pPr>
    </w:p>
    <w:p>
      <w:r>
        <w:rPr>
          <w:b/>
        </w:rPr>
        <w:t>命名风险：</w:t>
      </w:r>
      <w:r>
        <w:t>当前大流量基本型和蠕动泵两肥一酸版本均出现FG301名称。正式上线、报价和说明书制作前必须分配不同型号。FG301-HF与FG301-P仅可作为内部讨论名称，未经批准不得公开。</w:t>
      </w:r>
    </w:p>
    <w:p>
      <w:pPr>
        <w:pStyle w:val="Heading2"/>
      </w:pPr>
      <w:r>
        <w:t>3.2 B系列标准补充产品</w:t>
      </w:r>
    </w:p>
    <w:p>
      <w:r>
        <w:t>B系列包括无线阀门控制器、LoRa网关、太阳能阀门节点、远程水泵控制器、温室环境控制器、传感器、扩展模块和标准控制柜。B系列仍需固定型号和标准资料，但不占首页主要位置。</w:t>
      </w:r>
    </w:p>
    <w:p>
      <w:pPr>
        <w:pStyle w:val="Heading2"/>
      </w:pPr>
      <w:r>
        <w:t>3.3 C系列项目与深度定制</w:t>
      </w:r>
    </w:p>
    <w:p>
      <w:r>
        <w:t>C系列包括特殊控制柜、电气标准、水路和泵组、非标准通道、定制外壳和PCB、定制固件和协议、私有云、第三方设备大规模集成及联合开发。C系列通过OEM与合作伙伴流程进入技术评审。</w:t>
      </w:r>
    </w:p>
    <w:p>
      <w:pPr>
        <w:pStyle w:val="Heading1"/>
      </w:pPr>
      <w:r>
        <w:t>4 现有资料盘点与缺口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1587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资料类别</w:t>
            </w:r>
          </w:p>
        </w:tc>
        <w:tc>
          <w:tcPr>
            <w:tcW w:type="dxa" w:w="2721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现有基础</w:t>
            </w:r>
          </w:p>
        </w:tc>
        <w:tc>
          <w:tcPr>
            <w:tcW w:type="dxa" w:w="3288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主要缺口</w:t>
            </w:r>
          </w:p>
        </w:tc>
        <w:tc>
          <w:tcPr>
            <w:tcW w:type="dxa" w:w="2268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责任来源</w:t>
            </w:r>
          </w:p>
        </w:tc>
      </w:tr>
      <w:t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产品照片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部分型号有单张主图、界面图和系统图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统一正面、45度、内部、端子、铭牌、尺寸、包装、安装图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产品与市场团队提供真实原图</w:t>
            </w:r>
          </w:p>
        </w:tc>
      </w:tr>
      <w:tr>
        <w:tc>
          <w:tcPr>
            <w:tcW w:type="dxa" w:w="1587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产品参数</w:t>
            </w:r>
          </w:p>
        </w:tc>
        <w:tc>
          <w:tcPr>
            <w:tcW w:type="dxa" w:w="272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Grow 16与MC-16较详细，水肥和EC/pH不一致</w:t>
            </w:r>
          </w:p>
        </w:tc>
        <w:tc>
          <w:tcPr>
            <w:tcW w:type="dxa" w:w="328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型号冻结、泵和通道、测量精度、接口、尺寸、重量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研发和产品负责人确认</w:t>
            </w:r>
          </w:p>
        </w:tc>
      </w:tr>
      <w:t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产品文档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有通用目录、灌溉、LoRa、EC/pH和FG3 PDF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核心型号独立Datasheet、Manual、Wiring、协议和装箱清单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GPT编排，研发审核</w:t>
            </w:r>
          </w:p>
        </w:tc>
      </w:tr>
      <w:tr>
        <w:tc>
          <w:tcPr>
            <w:tcW w:type="dxa" w:w="1587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商业数据</w:t>
            </w:r>
          </w:p>
        </w:tc>
        <w:tc>
          <w:tcPr>
            <w:tcW w:type="dxa" w:w="272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产品页几乎没有完整MOQ和交期</w:t>
            </w:r>
          </w:p>
        </w:tc>
        <w:tc>
          <w:tcPr>
            <w:tcW w:type="dxa" w:w="328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MOQ、交期、包装、质保、价格层级、毛利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负责人和销售提供</w:t>
            </w:r>
          </w:p>
        </w:tc>
      </w:tr>
      <w:tr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认证资料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网站目录未发现可核实的型号证书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证书文件、适用型号、有效期和可公开范围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公司提供原始证书</w:t>
            </w:r>
          </w:p>
        </w:tc>
      </w:tr>
      <w:tr>
        <w:tc>
          <w:tcPr>
            <w:tcW w:type="dxa" w:w="1587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项目证据</w:t>
            </w:r>
          </w:p>
        </w:tc>
        <w:tc>
          <w:tcPr>
            <w:tcW w:type="dxa" w:w="272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有场景和安装素材</w:t>
            </w:r>
          </w:p>
        </w:tc>
        <w:tc>
          <w:tcPr>
            <w:tcW w:type="dxa" w:w="328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真实性、项目说明、客户授权和可公开范围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销售和项目团队确认</w:t>
            </w:r>
          </w:p>
        </w:tc>
      </w:tr>
    </w:tbl>
    <w:p>
      <w:pPr>
        <w:pStyle w:val="Smallnote"/>
      </w:pPr>
    </w:p>
    <w:p>
      <w:pPr>
        <w:pStyle w:val="Heading1"/>
      </w:pPr>
      <w:r>
        <w:t>5 GPT可以承担的工作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31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可直接完成</w:t>
            </w:r>
          </w:p>
        </w:tc>
        <w:tc>
          <w:tcPr>
            <w:tcW w:type="dxa" w:w="3231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需要真实输入后完成</w:t>
            </w:r>
          </w:p>
        </w:tc>
        <w:tc>
          <w:tcPr>
            <w:tcW w:type="dxa" w:w="3231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不能代替企业提供</w:t>
            </w:r>
          </w:p>
        </w:tc>
      </w:tr>
      <w:tr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产品体系整理；页面结构；文案；对比表；场景BOM；Hugo模板；筛选器；询价路径；多语言；SEO；结构化数据；链接和构建检查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根据确认参数制作Datasheet、说明书、接线说明、协议文档、报价模板；整理和统一真实照片；绘制技术示意图</w:t>
            </w:r>
          </w:p>
        </w:tc>
        <w:tc>
          <w:tcPr>
            <w:tcW w:type="dxa" w:w="32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真实参数、认证、成本价格、MOQ、交期、工厂能力、客户案例授权、真实产品照片和质保承诺</w:t>
            </w:r>
          </w:p>
        </w:tc>
      </w:tr>
    </w:tbl>
    <w:p>
      <w:pPr>
        <w:pStyle w:val="Smallnote"/>
      </w:pPr>
    </w:p>
    <w:p>
      <w:r>
        <w:t>GPT生成的场景图和结构图只能标为示意图，不能替代真实产品照片、安装照片、证书或检测报告。</w:t>
      </w:r>
    </w:p>
    <w:p>
      <w:pPr>
        <w:pStyle w:val="Heading1"/>
      </w:pPr>
      <w:r>
        <w:t>6 OEM与合作伙伴体系</w:t>
      </w:r>
    </w:p>
    <w:p>
      <w:pPr>
        <w:pStyle w:val="Heading2"/>
      </w:pPr>
      <w:r>
        <w:t>6.1 独立入口</w:t>
      </w:r>
    </w:p>
    <w:p>
      <w:r>
        <w:t>OEM能力集中放在OEM与合作伙伴页面。产品页仅保留一句条件式说明和链接，避免让客户误解单台样机即可获得外壳、固件和平台定制。</w:t>
      </w:r>
    </w:p>
    <w:p>
      <w:pPr>
        <w:pStyle w:val="Heading2"/>
      </w:pPr>
      <w:r>
        <w:t>6.2 定制分级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1417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268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515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审核条件</w:t>
            </w:r>
          </w:p>
        </w:tc>
        <w:tc>
          <w:tcPr>
            <w:tcW w:type="dxa" w:w="2665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标准选项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电压、通信模块、语言、附件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型号可支持，按选项报价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标准BOM与交期</w:t>
            </w:r>
          </w:p>
        </w:tc>
      </w:tr>
      <w:tr>
        <w:tc>
          <w:tcPr>
            <w:tcW w:type="dxa" w:w="1417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轻度OEM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Logo、铭牌、包装、预设参数</w:t>
            </w:r>
          </w:p>
        </w:tc>
        <w:tc>
          <w:tcPr>
            <w:tcW w:type="dxa" w:w="351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MOQ、制版或配置费用</w:t>
            </w:r>
          </w:p>
        </w:tc>
        <w:tc>
          <w:tcPr>
            <w:tcW w:type="dxa" w:w="266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样机确认与批量订单</w:t>
            </w:r>
          </w:p>
        </w:tc>
      </w:tr>
      <w:t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工程定制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外壳、PCB、固件、UI、协议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数量、市场、NRE、样机费、冻结范围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项目计划与验收标准</w:t>
            </w:r>
          </w:p>
        </w:tc>
      </w:tr>
      <w:tr>
        <w:tc>
          <w:tcPr>
            <w:tcW w:type="dxa" w:w="1417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平台合作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第三方设备、设备模型、私有部署</w:t>
            </w:r>
          </w:p>
        </w:tc>
        <w:tc>
          <w:tcPr>
            <w:tcW w:type="dxa" w:w="351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协议资料、设备数量、运维责任和商业模式</w:t>
            </w:r>
          </w:p>
        </w:tc>
        <w:tc>
          <w:tcPr>
            <w:tcW w:type="dxa" w:w="266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集成范围、接口和服务条款</w:t>
            </w:r>
          </w:p>
        </w:tc>
      </w:tr>
    </w:tbl>
    <w:p>
      <w:pPr>
        <w:pStyle w:val="Smallnote"/>
      </w:pPr>
    </w:p>
    <w:p>
      <w:pPr>
        <w:pStyle w:val="Heading1"/>
      </w:pPr>
      <w:r>
        <w:t>7 开放平台与第三方接入</w:t>
      </w:r>
    </w:p>
    <w:p>
      <w:r>
        <w:t>开放云平台用于PKYDrip产品及经过验证的第三方设备。支持的接入方式可以包括Modbus RTU、Modbus TCP、MQTT、HTTP/API和LoRa网关。对外表述应为“通过经过验证的设备模板接入”，而不是无条件宣称所有设备即插即用。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1814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接入层级</w:t>
            </w:r>
          </w:p>
        </w:tc>
        <w:tc>
          <w:tcPr>
            <w:tcW w:type="dxa" w:w="3969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402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商业处理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标准接入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已有设备模板和已验证协议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按标准平台或设备服务提供</w:t>
            </w:r>
          </w:p>
        </w:tc>
      </w:tr>
      <w:tr>
        <w:tc>
          <w:tcPr>
            <w:tcW w:type="dxa" w:w="181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配置接入</w:t>
            </w:r>
          </w:p>
        </w:tc>
        <w:tc>
          <w:tcPr>
            <w:tcW w:type="dxa" w:w="3969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新增寄存器映射、MQTT Topic或设备模型</w:t>
            </w:r>
          </w:p>
        </w:tc>
        <w:tc>
          <w:tcPr>
            <w:tcW w:type="dxa" w:w="3402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收取配置或集成费用，可设置数量要求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深度集成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新协议、专用网关、品牌平台、私有部署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NRE、项目周期、MOQ或年度合作要求</w:t>
            </w:r>
          </w:p>
        </w:tc>
      </w:tr>
    </w:tbl>
    <w:p>
      <w:pPr>
        <w:pStyle w:val="Smallnote"/>
      </w:pPr>
    </w:p>
    <w:p>
      <w:pPr>
        <w:pStyle w:val="Heading1"/>
      </w:pPr>
      <w:r>
        <w:t>8 网站信息架构</w:t>
      </w:r>
    </w:p>
    <w:p>
      <w:pPr>
        <w:pStyle w:val="Heading2"/>
      </w:pPr>
      <w:r>
        <w:t>8.1 首页</w:t>
      </w:r>
    </w:p>
    <w:p>
      <w:pPr>
        <w:pStyle w:val="ListNumber"/>
      </w:pPr>
      <w:r>
        <w:t>核心标准产品</w:t>
      </w:r>
    </w:p>
    <w:p>
      <w:pPr>
        <w:pStyle w:val="ListNumber"/>
      </w:pPr>
      <w:r>
        <w:t>按应用选择产品</w:t>
      </w:r>
    </w:p>
    <w:p>
      <w:pPr>
        <w:pStyle w:val="ListNumber"/>
      </w:pPr>
      <w:r>
        <w:t>标准组合和参考BOM</w:t>
      </w:r>
    </w:p>
    <w:p>
      <w:pPr>
        <w:pStyle w:val="ListNumber"/>
      </w:pPr>
      <w:r>
        <w:t>MOQ、交期、包装和质保摘要</w:t>
      </w:r>
    </w:p>
    <w:p>
      <w:pPr>
        <w:pStyle w:val="ListNumber"/>
      </w:pPr>
      <w:r>
        <w:t>工厂、产品和项目实拍</w:t>
      </w:r>
    </w:p>
    <w:p>
      <w:pPr>
        <w:pStyle w:val="ListNumber"/>
      </w:pPr>
      <w:r>
        <w:t>快速报价入口</w:t>
      </w:r>
    </w:p>
    <w:p>
      <w:pPr>
        <w:pStyle w:val="ListNumber"/>
      </w:pPr>
      <w:r>
        <w:t>OEM与合作伙伴入口</w:t>
      </w:r>
    </w:p>
    <w:p>
      <w:pPr>
        <w:pStyle w:val="ListNumber"/>
      </w:pPr>
      <w:r>
        <w:t>开放平台、协议和实时演示证据</w:t>
      </w:r>
    </w:p>
    <w:p>
      <w:pPr>
        <w:pStyle w:val="Heading2"/>
      </w:pPr>
      <w:r>
        <w:t>8.2 产品目录</w:t>
      </w:r>
    </w:p>
    <w:p>
      <w:r>
        <w:t>保留/product/ URL，从先理解系统改为直接找型号。一级筛选为Controllers、Fertigation、Wireless、EC/pH、Greenhouse Climate和Sensors。二级筛选使用客户能直接理解的参数，例如联网方式、通道、肥酸数量、泵型、是否带混肥桶、EC/pH控制方式和应用场景。</w:t>
      </w:r>
    </w:p>
    <w:p>
      <w:pPr>
        <w:pStyle w:val="Heading2"/>
      </w:pPr>
      <w:r>
        <w:t>8.3 产品页</w:t>
      </w:r>
    </w:p>
    <w:p>
      <w:r>
        <w:t>统一结构包括定位、适用与不适用、真实照片、关键规格、标准配置、可选配置、同系列比较、安装接口、供货边界、MOQ与交期、包装质保认证、下载、FAQ和型号预填询价。</w:t>
      </w:r>
    </w:p>
    <w:p>
      <w:pPr>
        <w:pStyle w:val="Heading2"/>
      </w:pPr>
      <w:r>
        <w:t>8.4 导航</w:t>
      </w:r>
    </w:p>
    <w:p>
      <w:r>
        <w:t>建议一级导航为Products、Solutions、For Distributors、Support和Contact。Systems页面保留URL和SEO内容，但不作为客户进入产品的前置步骤。</w:t>
      </w:r>
    </w:p>
    <w:p>
      <w:pPr>
        <w:pStyle w:val="Heading1"/>
      </w:pPr>
      <w:r>
        <w:t>9 实施阶段与验收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304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268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1134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预计周期</w:t>
            </w:r>
          </w:p>
        </w:tc>
        <w:tc>
          <w:tcPr>
            <w:tcW w:type="dxa" w:w="2268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665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6"/>
              </w:rPr>
              <w:t>完成标准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P0 产品冻结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A/B/C清单、正式型号、商业规则、证据清单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1周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负责人参与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核心型号与命名无冲突</w:t>
            </w:r>
          </w:p>
        </w:tc>
      </w:tr>
      <w:tr>
        <w:tc>
          <w:tcPr>
            <w:tcW w:type="dxa" w:w="130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P1 资料补齐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照片、参数、MOQ、交期、包装、质保、证书</w:t>
            </w:r>
          </w:p>
        </w:tc>
        <w:tc>
          <w:tcPr>
            <w:tcW w:type="dxa" w:w="113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2周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P0完成</w:t>
            </w:r>
          </w:p>
        </w:tc>
        <w:tc>
          <w:tcPr>
            <w:tcW w:type="dxa" w:w="266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每个A产品达到最小资料集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P2 页面基础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首页、产品目录、统一模板、追踪方案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2周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模板与资料可用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本地构建通过，URL不变</w:t>
            </w:r>
          </w:p>
        </w:tc>
      </w:tr>
      <w:tr>
        <w:tc>
          <w:tcPr>
            <w:tcW w:type="dxa" w:w="130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P3 A系列页面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七个核心产品页与下载资料</w:t>
            </w:r>
          </w:p>
        </w:tc>
        <w:tc>
          <w:tcPr>
            <w:tcW w:type="dxa" w:w="113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2周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参数经研发确认</w:t>
            </w:r>
          </w:p>
        </w:tc>
        <w:tc>
          <w:tcPr>
            <w:tcW w:type="dxa" w:w="266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内容、图片、商业边界审核通过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P4 组合与方案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标准组合、场景BOM、询价参数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1周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标准产品已冻结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每个组合可重复报价</w:t>
            </w:r>
          </w:p>
        </w:tc>
      </w:tr>
      <w:tr>
        <w:tc>
          <w:tcPr>
            <w:tcW w:type="dxa" w:w="130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P5 OEM与平台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OEM规则、合作表单、协议与接入说明</w:t>
            </w:r>
          </w:p>
        </w:tc>
        <w:tc>
          <w:tcPr>
            <w:tcW w:type="dxa" w:w="113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1周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商业规则确认</w:t>
            </w:r>
          </w:p>
        </w:tc>
        <w:tc>
          <w:tcPr>
            <w:tcW w:type="dxa" w:w="266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定制请求可分级过滤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P6 上线与多语言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分批上线、追踪验证、重点语言同步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2周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验收通过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无404、追踪正常、核心语言完成</w:t>
            </w:r>
          </w:p>
        </w:tc>
      </w:tr>
      <w:tr>
        <w:tc>
          <w:tcPr>
            <w:tcW w:type="dxa" w:w="130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6"/>
              </w:rPr>
              <w:t>P7 持续优化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按询盘、成交、毛利和售后调整曝光</w:t>
            </w:r>
          </w:p>
        </w:tc>
        <w:tc>
          <w:tcPr>
            <w:tcW w:type="dxa" w:w="113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持续90天</w:t>
            </w:r>
          </w:p>
        </w:tc>
        <w:tc>
          <w:tcPr>
            <w:tcW w:type="dxa" w:w="2268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生产数据可用</w:t>
            </w:r>
          </w:p>
        </w:tc>
        <w:tc>
          <w:tcPr>
            <w:tcW w:type="dxa" w:w="266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6"/>
              </w:rPr>
              <w:t>形成月度产品经营复盘</w:t>
            </w:r>
          </w:p>
        </w:tc>
      </w:tr>
    </w:tbl>
    <w:p>
      <w:pPr>
        <w:pStyle w:val="Smallnote"/>
      </w:pPr>
    </w:p>
    <w:p>
      <w:pPr>
        <w:pStyle w:val="Heading1"/>
      </w:pPr>
      <w:r>
        <w:t>10 角色与责任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1531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535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主要责任</w:t>
            </w:r>
          </w:p>
        </w:tc>
        <w:tc>
          <w:tcPr>
            <w:tcW w:type="dxa" w:w="3572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不可替代输入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负责人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产品取舍、利润目标、OEM边界和最终批准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型号、商业规则、毛利目标</w:t>
            </w:r>
          </w:p>
        </w:tc>
      </w:tr>
      <w:tr>
        <w:tc>
          <w:tcPr>
            <w:tcW w:type="dxa" w:w="153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研发/产品</w:t>
            </w:r>
          </w:p>
        </w:tc>
        <w:tc>
          <w:tcPr>
            <w:tcW w:type="dxa" w:w="453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参数、协议、结构、兼容性和技术审核</w:t>
            </w:r>
          </w:p>
        </w:tc>
        <w:tc>
          <w:tcPr>
            <w:tcW w:type="dxa" w:w="3572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真实规格、限制和版本状态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销售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客户问题、报价习惯、市场需求和询盘质量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MOQ、交期、报价与客户反馈</w:t>
            </w:r>
          </w:p>
        </w:tc>
      </w:tr>
      <w:tr>
        <w:tc>
          <w:tcPr>
            <w:tcW w:type="dxa" w:w="1531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市场</w:t>
            </w:r>
          </w:p>
        </w:tc>
        <w:tc>
          <w:tcPr>
            <w:tcW w:type="dxa" w:w="453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照片、案例授权、广告词和多语言优先级</w:t>
            </w:r>
          </w:p>
        </w:tc>
        <w:tc>
          <w:tcPr>
            <w:tcW w:type="dxa" w:w="3572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可公开素材和市场顺序</w:t>
            </w:r>
          </w:p>
        </w:tc>
      </w:tr>
      <w:tr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GPT/网站实施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结构、文案、页面、文档、表格、多语言、SEO和技术QA</w:t>
            </w:r>
          </w:p>
        </w:tc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基于已确认事实执行</w:t>
            </w:r>
          </w:p>
        </w:tc>
      </w:tr>
    </w:tbl>
    <w:p>
      <w:pPr>
        <w:pStyle w:val="Smallnote"/>
      </w:pPr>
    </w:p>
    <w:p>
      <w:pPr>
        <w:pStyle w:val="Heading1"/>
      </w:pPr>
      <w:r>
        <w:t>11 上线保护规则</w:t>
      </w:r>
    </w:p>
    <w:p>
      <w:pPr>
        <w:pStyle w:val="ListBullet"/>
      </w:pPr>
      <w:r>
        <w:t>不批量改变现有URL</w:t>
      </w:r>
    </w:p>
    <w:p>
      <w:pPr>
        <w:pStyle w:val="ListBullet"/>
      </w:pPr>
      <w:r>
        <w:t>不删除已有索引页面</w:t>
      </w:r>
    </w:p>
    <w:p>
      <w:pPr>
        <w:pStyle w:val="ListBullet"/>
      </w:pPr>
      <w:r>
        <w:t>不改变正在使用的Ads落地页地址</w:t>
      </w:r>
    </w:p>
    <w:p>
      <w:pPr>
        <w:pStyle w:val="ListBullet"/>
      </w:pPr>
      <w:r>
        <w:t>保持canonical和hreflang</w:t>
      </w:r>
    </w:p>
    <w:p>
      <w:pPr>
        <w:pStyle w:val="ListBullet"/>
      </w:pPr>
      <w:r>
        <w:t>系统和概念页降权但不删除</w:t>
      </w:r>
    </w:p>
    <w:p>
      <w:pPr>
        <w:pStyle w:val="ListBullet"/>
      </w:pPr>
      <w:r>
        <w:t>先完成英文核心页，再按广告市场同步语言</w:t>
      </w:r>
    </w:p>
    <w:p>
      <w:pPr>
        <w:pStyle w:val="ListBullet"/>
      </w:pPr>
      <w:r>
        <w:t>每批上线前检查GA4、Google Ads、Meta Pixel、WhatsApp和表单事件</w:t>
      </w:r>
    </w:p>
    <w:p>
      <w:pPr>
        <w:pStyle w:val="ListBullet"/>
      </w:pPr>
      <w:r>
        <w:t>所有认证、项目和制造声明必须有对应证据</w:t>
      </w:r>
    </w:p>
    <w:p>
      <w:pPr>
        <w:pStyle w:val="Heading1"/>
      </w:pPr>
      <w:r>
        <w:t>12 经营指标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175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365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1984"/>
            <w:shd w:fill="1F5B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7"/>
              </w:rPr>
              <w:t>建议查看频率</w:t>
            </w:r>
          </w:p>
        </w:tc>
      </w:tr>
      <w:t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各型号广告花费和询盘量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判断需求与获客成本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每周</w:t>
            </w:r>
          </w:p>
        </w:tc>
      </w:tr>
      <w:tr>
        <w:tc>
          <w:tcPr>
            <w:tcW w:type="dxa" w:w="317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有效询盘率</w:t>
            </w:r>
          </w:p>
        </w:tc>
        <w:tc>
          <w:tcPr>
            <w:tcW w:type="dxa" w:w="436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判断页面是否吸引正确客户</w:t>
            </w:r>
          </w:p>
        </w:tc>
        <w:tc>
          <w:tcPr>
            <w:tcW w:type="dxa" w:w="198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每周</w:t>
            </w:r>
          </w:p>
        </w:tc>
      </w:tr>
      <w:t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报价响应时间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检查标准化是否提升效率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每周</w:t>
            </w:r>
          </w:p>
        </w:tc>
      </w:tr>
      <w:tr>
        <w:tc>
          <w:tcPr>
            <w:tcW w:type="dxa" w:w="317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报价转订单率</w:t>
            </w:r>
          </w:p>
        </w:tc>
        <w:tc>
          <w:tcPr>
            <w:tcW w:type="dxa" w:w="436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判断产品、价格与证据是否匹配</w:t>
            </w:r>
          </w:p>
        </w:tc>
        <w:tc>
          <w:tcPr>
            <w:tcW w:type="dxa" w:w="198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每月</w:t>
            </w:r>
          </w:p>
        </w:tc>
      </w:tr>
      <w:t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平均订单金额与毛利率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确认销售增长是否带来利润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每月</w:t>
            </w:r>
          </w:p>
        </w:tc>
      </w:tr>
      <w:tr>
        <w:tc>
          <w:tcPr>
            <w:tcW w:type="dxa" w:w="317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标准型号与标准组合订单占比</w:t>
            </w:r>
          </w:p>
        </w:tc>
        <w:tc>
          <w:tcPr>
            <w:tcW w:type="dxa" w:w="436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衡量产品化成果</w:t>
            </w:r>
          </w:p>
        </w:tc>
        <w:tc>
          <w:tcPr>
            <w:tcW w:type="dxa" w:w="198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每月</w:t>
            </w:r>
          </w:p>
        </w:tc>
      </w:tr>
      <w:t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每单售前和定制工时</w:t>
            </w:r>
          </w:p>
        </w:tc>
        <w:tc>
          <w:tcPr>
            <w:tcW w:type="dxa" w:w="4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识别低价值定制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每月</w:t>
            </w:r>
          </w:p>
        </w:tc>
      </w:tr>
      <w:tr>
        <w:tc>
          <w:tcPr>
            <w:tcW w:type="dxa" w:w="317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b/>
                <w:sz w:val="17"/>
              </w:rPr>
              <w:t>售后、返工和备件成本</w:t>
            </w:r>
          </w:p>
        </w:tc>
        <w:tc>
          <w:tcPr>
            <w:tcW w:type="dxa" w:w="4365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识别隐藏利润损失</w:t>
            </w:r>
          </w:p>
        </w:tc>
        <w:tc>
          <w:tcPr>
            <w:tcW w:type="dxa" w:w="1984"/>
            <w:shd w:fill="F5F7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/>
                <w:sz w:val="17"/>
              </w:rPr>
              <w:t>每月</w:t>
            </w:r>
          </w:p>
        </w:tc>
      </w:tr>
    </w:tbl>
    <w:p>
      <w:pPr>
        <w:pStyle w:val="Smallnote"/>
      </w:pPr>
    </w:p>
    <w:p>
      <w:pPr>
        <w:pStyle w:val="Heading1"/>
      </w:pPr>
      <w:r>
        <w:t>13 立即启动清单</w:t>
      </w:r>
    </w:p>
    <w:p>
      <w:pPr>
        <w:pStyle w:val="ListNumber"/>
      </w:pPr>
      <w:r>
        <w:t>确认智能版与本地版正式型号及标准联网配置。</w:t>
      </w:r>
    </w:p>
    <w:p>
      <w:pPr>
        <w:pStyle w:val="ListNumber"/>
      </w:pPr>
      <w:r>
        <w:t>解决大流量FG301与蠕动泵两肥一酸版本的命名冲突。</w:t>
      </w:r>
    </w:p>
    <w:p>
      <w:pPr>
        <w:pStyle w:val="ListNumber"/>
      </w:pPr>
      <w:r>
        <w:t>确认FG401三肥一酸的真实结构、参数和EC/pH能力。</w:t>
      </w:r>
    </w:p>
    <w:p>
      <w:pPr>
        <w:pStyle w:val="ListNumber"/>
      </w:pPr>
      <w:r>
        <w:t>确认PKY-ECpH-501是否替代当前FG501及其桶容积、双检测位置和标准配置。</w:t>
      </w:r>
    </w:p>
    <w:p>
      <w:pPr>
        <w:pStyle w:val="ListNumber"/>
      </w:pPr>
      <w:r>
        <w:t>填写核心产品参数与供货边界表。</w:t>
      </w:r>
    </w:p>
    <w:p>
      <w:pPr>
        <w:pStyle w:val="ListNumber"/>
      </w:pPr>
      <w:r>
        <w:t>填写各型号MOQ、典型交期、包装、质保和认证状态。</w:t>
      </w:r>
    </w:p>
    <w:p>
      <w:pPr>
        <w:pStyle w:val="ListNumber"/>
      </w:pPr>
      <w:r>
        <w:t>按统一清单拍摄核心产品照片。</w:t>
      </w:r>
    </w:p>
    <w:p>
      <w:pPr>
        <w:pStyle w:val="ListNumber"/>
      </w:pPr>
      <w:r>
        <w:t>确定OEM各层级MOQ、NRE和样机政策。</w:t>
      </w:r>
    </w:p>
    <w:p>
      <w:pPr>
        <w:pStyle w:val="ListNumber"/>
      </w:pPr>
      <w:r>
        <w:t>确定第一批上线页面和Ads对应关系。</w:t>
      </w:r>
    </w:p>
    <w:p>
      <w:pPr>
        <w:pStyle w:val="ListNumber"/>
      </w:pPr>
      <w:r>
        <w:t>在本地完成页面开发、构建与追踪验收后再分批上线。</w:t>
      </w:r>
    </w:p>
    <w:p>
      <w:pPr>
        <w:pStyle w:val="Heading1"/>
      </w:pPr>
      <w:r>
        <w:t>14 决策门槛</w:t>
      </w:r>
    </w:p>
    <w:p>
      <w:r>
        <w:t>第一批开发可以立即开始。第一批生产上线只有在以下条件全部满足后进行：核心型号无命名冲突；页面参数经过研发确认；主图为真实可公开素材；MOQ和交期经过销售确认；认证表述有证据；URL和追踪方案通过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762"/>
        <w:sz w:val="16"/>
      </w:rPr>
      <w:t>PKYDrip 内部项目文件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E6762"/>
        <w:sz w:val="16"/>
      </w:rPr>
      <w:t>PKYDrip 产品化网站升级实施方案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Heiti SC" w:hAnsi="Heiti SC" w:eastAsia="Heiti SC"/>
      <w:color w:val="5E676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PKYDrip 产品化网站升级实施方案</dc:title>
  <dc:subject>产品体系 OEM边界 网站升级 资料补齐 实施任务</dc:subject>
  <dc:creator>PKYDrip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