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Implementation Review Summary</w:t>
      </w:r>
    </w:p>
    <w:p>
      <w:pPr>
        <w:jc w:val="center"/>
      </w:pPr>
      <w:r>
        <w:rPr>
          <w:b/>
          <w:color w:val="4B5A69"/>
        </w:rPr>
        <w:t>STUDENT FINANCE AI  |  COMPETITION SUBMISSION</w:t>
      </w:r>
    </w:p>
    <w:p>
      <w:pPr>
        <w:pStyle w:val="Heading1"/>
      </w:pPr>
      <w:r>
        <w:t>Review scope</w:t>
      </w:r>
    </w:p>
    <w:p>
      <w:r>
        <w:t>This summary describes the architecture and control themes represented in the workflow and SQL sources included in this package. It is intended to help reviewers understand the implementation and the operational controls used for deployment.</w:t>
      </w:r>
    </w:p>
    <w:p>
      <w:pPr>
        <w:pStyle w:val="Heading2"/>
      </w:pPr>
      <w:r>
        <w:t>Design highlights</w:t>
      </w:r>
    </w:p>
    <w:p>
      <w:pPr>
        <w:pStyle w:val="ListBullet"/>
      </w:pPr>
      <w:r>
        <w:t>Workflow validation before supported database actions</w:t>
      </w:r>
    </w:p>
    <w:p>
      <w:pPr>
        <w:pStyle w:val="ListBullet"/>
      </w:pPr>
      <w:r>
        <w:t>Server-side database functions for persistence and business rules</w:t>
      </w:r>
    </w:p>
    <w:p>
      <w:pPr>
        <w:pStyle w:val="ListBullet"/>
      </w:pPr>
      <w:r>
        <w:t>Credential separation between the shareable workflow and private runtime configuration</w:t>
      </w:r>
    </w:p>
    <w:p>
      <w:pPr>
        <w:pStyle w:val="ListBullet"/>
      </w:pPr>
      <w:r>
        <w:t>Idempotency and event-deduplication mechanisms for supported paths</w:t>
      </w:r>
    </w:p>
    <w:p>
      <w:pPr>
        <w:pStyle w:val="ListBullet"/>
      </w:pPr>
      <w:r>
        <w:t>User-scoped access as a database policy objective</w:t>
      </w:r>
    </w:p>
    <w:p>
      <w:pPr>
        <w:pStyle w:val="ListBullet"/>
      </w:pPr>
      <w:r>
        <w:t>Synthetic-data testing and redacted execution evidence</w:t>
      </w:r>
    </w:p>
    <w:p>
      <w:pPr>
        <w:pStyle w:val="Heading2"/>
      </w:pPr>
      <w:r>
        <w:t>Deployment control priorities</w:t>
      </w:r>
    </w:p>
    <w:p>
      <w:pPr>
        <w:pStyle w:val="ListNumber"/>
      </w:pPr>
      <w:r>
        <w:t>Match the workflow RPC contract to the target database schema and migration version.</w:t>
      </w:r>
    </w:p>
    <w:p>
      <w:pPr>
        <w:pStyle w:val="ListNumber"/>
      </w:pPr>
      <w:r>
        <w:t>Confirm effective grants, RLS policies, and function execution permissions for each database role.</w:t>
      </w:r>
    </w:p>
    <w:p>
      <w:pPr>
        <w:pStyle w:val="ListNumber"/>
      </w:pPr>
      <w:r>
        <w:t>Review elevated functions for ownership checks and safe search-path settings.</w:t>
      </w:r>
    </w:p>
    <w:p>
      <w:pPr>
        <w:pStyle w:val="ListNumber"/>
      </w:pPr>
      <w:r>
        <w:t>Exercise retries, duplicate events, undo, repayment, pending confirmations, planner routes, and account deletion.</w:t>
      </w:r>
    </w:p>
    <w:p>
      <w:pPr>
        <w:pStyle w:val="ListNumber"/>
      </w:pPr>
      <w:r>
        <w:t>Keep credentials out of exported artifacts and minimize sensitive execution logs.</w:t>
      </w:r>
    </w:p>
    <w:p>
      <w:pPr>
        <w:pStyle w:val="ListNumber"/>
      </w:pPr>
      <w:r>
        <w:t>Demonstrate only the features enabled in the specific staging environment.</w:t>
      </w:r>
    </w:p>
    <w:p>
      <w:pPr>
        <w:pStyle w:val="Heading2"/>
      </w:pPr>
      <w:r>
        <w:t>Interpretation</w:t>
      </w:r>
    </w:p>
    <w:p>
      <w:r>
        <w:t>The included package is a prototype source and documentation bundle. The deployment environment, schema version, credential bindings, and dated execution evidence should be kept aligned with the exact configuration presented to reviewers.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Student Finance AI • Prototype documentation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7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