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Self-Assessment</w:t>
      </w:r>
    </w:p>
    <w:p>
      <w:pPr>
        <w:jc w:val="center"/>
      </w:pPr>
      <w:r>
        <w:rPr>
          <w:b/>
          <w:color w:val="4B5A69"/>
        </w:rPr>
        <w:t>STUDENT FINANCE AI  |  COMPETITION SUBMISSION</w:t>
      </w:r>
    </w:p>
    <w:p>
      <w:pPr>
        <w:pStyle w:val="Heading1"/>
      </w:pPr>
      <w:r>
        <w:t>Security Self-Assessment</w:t>
      </w:r>
    </w:p>
    <w:p>
      <w:pPr>
        <w:pStyle w:val="Heading2"/>
      </w:pPr>
      <w:r>
        <w:t>Assessment scope</w:t>
      </w:r>
    </w:p>
    <w:p>
      <w:r>
        <w:t>This document describes the controls represented in the available workflow and SQL artifacts and the operational safeguards required for deployment. It is a project self-assessment, not a third-party certification or penetration-test report.</w:t>
      </w:r>
    </w:p>
    <w:p>
      <w:pPr>
        <w:pStyle w:val="Heading2"/>
      </w:pPr>
      <w:r>
        <w:t>Security model</w:t>
      </w:r>
    </w:p>
    <w:p>
      <w:r>
        <w:t>| Component / role | Intended access | Control objective |</w:t>
      </w:r>
    </w:p>
    <w:p>
      <w:r>
        <w:t>|---|---|---|</w:t>
      </w:r>
    </w:p>
    <w:p>
      <w:r>
        <w:t>| Telegram user | Own virtual-ledger actions through the bot | Bind sender identity to one application user; do not trust a user-supplied account ID |</w:t>
      </w:r>
    </w:p>
    <w:p>
      <w:r>
        <w:t>| n8n runtime | Invoke approved database functions | Keep credentials in the credential store; restrict editor access; redact execution data |</w:t>
      </w:r>
    </w:p>
    <w:p>
      <w:r>
        <w:t>| Supabase server credential | Server-side RPC execution only | Never expose service-role credentials to clients, public repositories, or demo materials |</w:t>
      </w:r>
    </w:p>
    <w:p>
      <w:r>
        <w:t>| `anon` / `authenticated` roles | Only explicitly approved direct database access | Use least privilege, RLS policies, and explicit function/table grants |</w:t>
      </w:r>
    </w:p>
    <w:p>
      <w:r>
        <w:t>| LLM and optional external services | Minimum request data needed for the task | Avoid secrets and unnecessary personal data; configure optional services deliberately |</w:t>
      </w:r>
    </w:p>
    <w:p>
      <w:pPr>
        <w:pStyle w:val="Heading2"/>
      </w:pPr>
      <w:r>
        <w:t>Controls represented in the project artifacts</w:t>
      </w:r>
    </w:p>
    <w:p>
      <w:pPr>
        <w:pStyle w:val="ListBullet"/>
      </w:pPr>
      <w:r>
        <w:t>Intent and category allowlists are used before supported database actions.</w:t>
      </w:r>
    </w:p>
    <w:p>
      <w:pPr>
        <w:pStyle w:val="ListBullet"/>
      </w:pPr>
      <w:r>
        <w:t>Numeric and required-field validation is present in the workflow path.</w:t>
      </w:r>
    </w:p>
    <w:p>
      <w:pPr>
        <w:pStyle w:val="ListBullet"/>
      </w:pPr>
      <w:r>
        <w:t>Structured RPC actions separate workflow parsing from database-side business rules.</w:t>
      </w:r>
    </w:p>
    <w:p>
      <w:pPr>
        <w:pStyle w:val="ListBullet"/>
      </w:pPr>
      <w:r>
        <w:t>Idempotency/event-deduplication mechanisms are represented for supported write paths.</w:t>
      </w:r>
    </w:p>
    <w:p>
      <w:pPr>
        <w:pStyle w:val="ListBullet"/>
      </w:pPr>
      <w:r>
        <w:t>Credentials are removed from the shareable workflow export and must be bound privately during deployment.</w:t>
      </w:r>
    </w:p>
    <w:p>
      <w:pPr>
        <w:pStyle w:val="ListBullet"/>
      </w:pPr>
      <w:r>
        <w:t>The product is presented as a virtual ledger; it does not initiate payments.</w:t>
      </w:r>
    </w:p>
    <w:p>
      <w:pPr>
        <w:pStyle w:val="ListBullet"/>
      </w:pPr>
      <w:r>
        <w:t>Optional health-profile handling includes explicit consent commands in the workflow source.</w:t>
      </w:r>
    </w:p>
    <w:p>
      <w:pPr>
        <w:pStyle w:val="ListBullet"/>
      </w:pPr>
      <w:r>
        <w:t>Account-data deletion implementation SQL is included as a separate source artifact.</w:t>
      </w:r>
    </w:p>
    <w:p>
      <w:pPr>
        <w:pStyle w:val="Heading2"/>
      </w:pPr>
      <w:r>
        <w:t>Deployment control checklist</w:t>
      </w:r>
    </w:p>
    <w:p>
      <w:pPr>
        <w:pStyle w:val="ListNumber"/>
      </w:pPr>
      <w:r>
        <w:t>Keep Supabase service credentials and bot/provider tokens only in private credential stores.</w:t>
      </w:r>
    </w:p>
    <w:p>
      <w:pPr>
        <w:pStyle w:val="ListNumber"/>
      </w:pPr>
      <w:r>
        <w:t>Confirm effective grants and RLS behavior for each database role using separate test credentials.</w:t>
      </w:r>
    </w:p>
    <w:p>
      <w:pPr>
        <w:pStyle w:val="ListNumber"/>
      </w:pPr>
      <w:r>
        <w:t>Review each exposed function, especially `SECURITY DEFINER` functions, for ownership checks, safe `search_path`, and least-privilege execute grants.</w:t>
      </w:r>
    </w:p>
    <w:p>
      <w:pPr>
        <w:pStyle w:val="ListNumber"/>
      </w:pPr>
      <w:r>
        <w:t>Confirm the workflow's project-reference URLs and credential bindings in the target n8n instance.</w:t>
      </w:r>
    </w:p>
    <w:p>
      <w:pPr>
        <w:pStyle w:val="ListNumber"/>
      </w:pPr>
      <w:r>
        <w:t>Exercise balance/budget snapshots, duplicate delivery, retries, undo, debt repayment, pending confirmations, planner actions, and account deletion using synthetic test records.</w:t>
      </w:r>
    </w:p>
    <w:p>
      <w:pPr>
        <w:pStyle w:val="ListNumber"/>
      </w:pPr>
      <w:r>
        <w:t>Review n8n execution retention and redact financial message content from logs and screenshots.</w:t>
      </w:r>
    </w:p>
    <w:p>
      <w:pPr>
        <w:pStyle w:val="ListNumber"/>
      </w:pPr>
      <w:r>
        <w:t>Disable optional provider-dependent routes until credentials, rate limits, privacy handling, and output behavior are configured.</w:t>
      </w:r>
    </w:p>
    <w:p>
      <w:pPr>
        <w:pStyle w:val="ListNumber"/>
      </w:pPr>
      <w:r>
        <w:t>Keep backups and a rollback plan for schema changes; apply migrations in staging before production.</w:t>
      </w:r>
    </w:p>
    <w:p>
      <w:pPr>
        <w:pStyle w:val="Heading2"/>
      </w:pPr>
      <w:r>
        <w:t>Operational considerations</w:t>
      </w:r>
    </w:p>
    <w:p>
      <w:pPr>
        <w:pStyle w:val="ListBullet"/>
      </w:pPr>
      <w:r>
        <w:t>A complete schema export and exact migration history must accompany a reproducible deployment.</w:t>
      </w:r>
    </w:p>
    <w:p>
      <w:pPr>
        <w:pStyle w:val="ListBullet"/>
      </w:pPr>
      <w:r>
        <w:t>Runtime behavior depends on the target database schema, migration version, private credentials, and enabled provider integrations.</w:t>
      </w:r>
    </w:p>
    <w:p>
      <w:pPr>
        <w:pStyle w:val="ListBullet"/>
      </w:pPr>
      <w:r>
        <w:t>Database access policies must be assessed from effective grants and real role-specific requests, not from policy definitions alone.</w:t>
      </w:r>
    </w:p>
    <w:p>
      <w:pPr>
        <w:pStyle w:val="ListBullet"/>
      </w:pPr>
      <w:r>
        <w:t>Workflow and database changes should be versioned together so the RPC contract remains consistent.</w:t>
      </w:r>
    </w:p>
    <w:p>
      <w:pPr>
        <w:pStyle w:val="ListBullet"/>
      </w:pPr>
      <w:r>
        <w:t>Logs and demo screenshots should use synthetic records and exclude credentials, personal identifiers, and private financial details.</w:t>
      </w:r>
    </w:p>
    <w:p>
      <w:pPr>
        <w:pStyle w:val="Heading2"/>
      </w:pPr>
      <w:r>
        <w:t>Conclusion</w:t>
      </w:r>
    </w:p>
    <w:p>
      <w:r>
        <w:t>The implementation follows a layered design with workflow validation, server-side database operations, credential separation, and data-minimization principles. Deployment should use the checklist above as a release control, and any demo claims should match the exact configuration and dated execution evidence included with the submission.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Student Finance AI • Prototype documentation • 20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75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