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Birlasoft Performance Review Policy</w:t>
      </w:r>
    </w:p>
    <w:p>
      <w:pPr>
        <w:pStyle w:val="Heading2"/>
      </w:pPr>
      <w:r>
        <w:t>1. Annual Appraisal Cycle</w:t>
      </w:r>
    </w:p>
    <w:p>
      <w:r>
        <w:t>• The performance review at Birlasoft typically follows an annual cycle. Employees undergo appraisal once every year, based on their contributions and goals achieved.</w:t>
      </w:r>
    </w:p>
    <w:p>
      <w:pPr>
        <w:pStyle w:val="Heading2"/>
      </w:pPr>
      <w:r>
        <w:t>2. Beyond Monetary Rewards</w:t>
      </w:r>
    </w:p>
    <w:p>
      <w:r>
        <w:t>• Birlasoft emphasizes employee experience, not just salary hikes. Appraisals include timely, actionable feedback, skill development opportunities, and recognition beyond monetary rewards.</w:t>
      </w:r>
    </w:p>
    <w:p>
      <w:pPr>
        <w:pStyle w:val="Heading2"/>
      </w:pPr>
      <w:r>
        <w:t>3. Evolving Towards Continuous Feedback</w:t>
      </w:r>
    </w:p>
    <w:p>
      <w:r>
        <w:t>• While the traditional annual review system exists, Birlasoft is moving towards a more dynamic approach. This includes continuous feedback, AI/ML-driven evaluations, and project-based or quarterly assessments.</w:t>
      </w:r>
    </w:p>
    <w:p>
      <w:pPr>
        <w:pStyle w:val="Heading2"/>
      </w:pPr>
      <w:r>
        <w:t>4. Adaptable and Responsive Appraisals</w:t>
      </w:r>
    </w:p>
    <w:p>
      <w:r>
        <w:t>• Birlasoft encourages a flexible and coaching-oriented review process. Goals and behaviors are updated to match business priorities such as adaptability, teamwork, and engagement. Instead of rigid scoring, a 'Start–Stop–Continue' model with high/medium/low levels is recommended, along with regular check-ins every 3–6 weeks.</w:t>
      </w:r>
    </w:p>
    <w:p>
      <w:pPr>
        <w:pStyle w:val="Heading2"/>
      </w:pPr>
      <w:r>
        <w:t>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Review Frequency</w:t>
            </w:r>
          </w:p>
        </w:tc>
        <w:tc>
          <w:tcPr>
            <w:tcW w:type="dxa" w:w="4320"/>
          </w:tcPr>
          <w:p>
            <w:r>
              <w:t>Annual appraisal cycle</w:t>
            </w:r>
          </w:p>
        </w:tc>
      </w:tr>
      <w:tr>
        <w:tc>
          <w:tcPr>
            <w:tcW w:type="dxa" w:w="4320"/>
          </w:tcPr>
          <w:p>
            <w:r>
              <w:t>Focus</w:t>
            </w:r>
          </w:p>
        </w:tc>
        <w:tc>
          <w:tcPr>
            <w:tcW w:type="dxa" w:w="4320"/>
          </w:tcPr>
          <w:p>
            <w:r>
              <w:t>Holistic – beyond salary, including feedback and employee experience</w:t>
            </w:r>
          </w:p>
        </w:tc>
      </w:tr>
      <w:tr>
        <w:tc>
          <w:tcPr>
            <w:tcW w:type="dxa" w:w="4320"/>
          </w:tcPr>
          <w:p>
            <w:r>
              <w:t>Future Trend</w:t>
            </w:r>
          </w:p>
        </w:tc>
        <w:tc>
          <w:tcPr>
            <w:tcW w:type="dxa" w:w="4320"/>
          </w:tcPr>
          <w:p>
            <w:r>
              <w:t>Continuous feedback, AI-enhanced multi-dimensional reviews</w:t>
            </w:r>
          </w:p>
        </w:tc>
      </w:tr>
      <w:tr>
        <w:tc>
          <w:tcPr>
            <w:tcW w:type="dxa" w:w="4320"/>
          </w:tcPr>
          <w:p>
            <w:r>
              <w:t>Adaptability</w:t>
            </w:r>
          </w:p>
        </w:tc>
        <w:tc>
          <w:tcPr>
            <w:tcW w:type="dxa" w:w="4320"/>
          </w:tcPr>
          <w:p>
            <w:r>
              <w:t>Coaching-based, with regular check-ins (every 3–6 weeks)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