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28"/>
          <w:szCs w:val="28"/>
        </w:rPr>
        <w:t xml:space="preserve">Stacked Ensembles Versus a Single Gradient-Boosted Model for Sepsis Outcome Prediction: A Controlled and Explainable Replication on MIMIC-IV and eICU</w:t>
      </w:r>
    </w:p>
    <w:p>
      <w:pPr>
        <w:spacing w:after="20"/>
        <w:jc w:val="center"/>
      </w:pPr>
      <w:r>
        <w:t>Mansoob-e-Zahra, Ijaz Hussain</w:t>
      </w:r>
    </w:p>
    <w:p>
      <w:pPr>
        <w:spacing w:after="20"/>
        <w:jc w:val="center"/>
      </w:pPr>
      <w:r>
        <w:t>Department of Computer and Information Sciences</w:t>
      </w:r>
    </w:p>
    <w:p>
      <w:pPr>
        <w:spacing w:after="20"/>
        <w:jc w:val="center"/>
      </w:pPr>
      <w:r>
        <w:t>PIEAS</w:t>
      </w:r>
    </w:p>
    <w:p>
      <w:pPr>
        <w:spacing w:after="20"/>
        <w:jc w:val="center"/>
      </w:pPr>
      <w:r>
        <w:t>Nilore, Islamabad, Pakistan</w:t>
      </w:r>
    </w:p>
    <w:p>
      <w:pPr>
        <w:spacing w:after="200"/>
        <w:jc w:val="center"/>
      </w:pPr>
      <w:r>
        <w:t>ijazhussain@pieas.edu.pk</w:t>
      </w:r>
    </w:p>
    <w:p>
      <w:pPr>
        <w:sectPr>
          <w:type w:val="continuous"/>
          <w:pgSz w:w="12240" w:h="15840" w:orient="portrait"/>
          <w:pgMar w:top="1080" w:right="1080" w:bottom="1080" w:left="1080" w:header="708" w:footer="708" w:gutter="0"/>
          <w:pgNumType/>
          <w:docGrid w:linePitch="360"/>
        </w:sectPr>
      </w:pPr>
    </w:p>
    <w:p>
      <w:pPr>
        <w:spacing w:after="50" w:line="234"/>
        <w:jc w:val="both"/>
      </w:pPr>
      <w:r>
        <w:rPr>
          <w:rFonts w:ascii="Times New Roman" w:cs="Times New Roman" w:eastAsia="Times New Roman" w:hAnsi="Times New Roman"/>
          <w:b/>
          <w:bCs/>
          <w:i/>
          <w:iCs/>
          <w:sz w:val="20"/>
          <w:szCs w:val="20"/>
        </w:rPr>
        <w:t xml:space="preserve">Abstract: </w:t>
      </w:r>
      <w:r>
        <w:rPr>
          <w:rFonts w:ascii="Times New Roman" w:cs="Times New Roman" w:eastAsia="Times New Roman" w:hAnsi="Times New Roman"/>
          <w:i w:val="false"/>
          <w:iCs w:val="false"/>
          <w:sz w:val="20"/>
          <w:szCs w:val="20"/>
        </w:rPr>
        <w:t xml:space="preserve">Sepsis risk models must be discriminative and well calibrated. Stacked ensembles are proposed for sepsis outcome prediction from Electronic Health Record (EHR) data, but are seldom compared with a single model on identical folds, with equal per-model tuning and a stated </w:t>
        <w:t xml:space="preserve">meta</w:t>
        <w:noBreakHyphen/>
        <w:t xml:space="preserve">learner</w:t>
        <w:t xml:space="preserve">. We replicate the </w:t>
        <w:t xml:space="preserve">EHR</w:t>
        <w:noBreakHyphen/>
        <w:t xml:space="preserve">ML</w:t>
        <w:t xml:space="preserve"> stacking framework on </w:t>
        <w:t xml:space="preserve">MIMIC</w:t>
        <w:noBreakHyphen/>
        <w:t xml:space="preserve">IV</w:t>
        <w:t xml:space="preserve"> (2,545 episodes) and eICU (12,688 ICU stays) sepsis cohorts and re-test it on identical patient-grouped </w:t>
        <w:t xml:space="preserve">cross</w:t>
        <w:noBreakHyphen/>
        <w:t xml:space="preserve">validation</w:t>
        <w:t xml:space="preserve"> folds, reporting paired differences with Nadeau–Bengio corrected 95% confidence intervals. With the original </w:t>
        <w:t xml:space="preserve">meta</w:t>
        <w:noBreakHyphen/>
        <w:t xml:space="preserve">learner</w:t>
        <w:t xml:space="preserve">, eXtreme Gradient Boosting (XGBoost) at library defaults, the stack scores 2.7 to 3.9 Area Under the Receiver Operating Characteristic Curve (AUROC) points (3.2% to 4.9%) below a single XGBoost model, is significantly worse in 17 of 22 settings and is poorly calibrated (calibration slope 0.30 to 0.55). With a regularized or equally tuned </w:t>
        <w:t xml:space="preserve">meta</w:t>
        <w:noBreakHyphen/>
        <w:t xml:space="preserve">learner</w:t>
        <w:t xml:space="preserve">, the stack is not significantly different from the comparably configured single model in 39 of 44 comparisons (two </w:t>
        <w:t xml:space="preserve">meta</w:t>
        <w:noBreakHyphen/>
        <w:t xml:space="preserve">learners</w:t>
        <w:t xml:space="preserve"> in 22 settings), worse in 5 and never significantly better, also with more diverse base learners or without early deaths. Landmark </w:t>
        <w:t xml:space="preserve">length</w:t>
        <w:noBreakHyphen/>
        <w:t xml:space="preserve">of</w:t>
        <w:noBreakHyphen/>
        <w:t xml:space="preserve">stay</w:t>
        <w:t xml:space="preserve"> tasks reach AUROC 0.77 to 0.80, against 0.94 to 0.95 with the original 7-day window, which overlaps the outcome and covers all patients, and leak-free SHapley Additive exPlanations (SHAP) selection keeps AUROC within 0.2 points with 30 features. In the tested implementation, the stacking penalty reflects the untuned </w:t>
        <w:t xml:space="preserve">meta</w:t>
        <w:noBreakHyphen/>
        <w:t xml:space="preserve">learner</w:t>
        <w:t xml:space="preserve"> rather than stacking itself; stacked models should report and regularize their </w:t>
        <w:t xml:space="preserve">meta</w:t>
        <w:noBreakHyphen/>
        <w:t xml:space="preserve">learner</w:t>
        <w:t xml:space="preserve"> and be compared with a single </w:t>
        <w:t xml:space="preserve">well</w:t>
        <w:noBreakHyphen/>
        <w:t xml:space="preserve">configured</w:t>
        <w:t xml:space="preserve"> model.</w:t>
      </w:r>
    </w:p>
    <w:p>
      <w:pPr>
        <w:spacing w:after="50" w:line="234"/>
        <w:jc w:val="both"/>
      </w:pPr>
      <w:r>
        <w:rPr>
          <w:rFonts w:ascii="Times New Roman" w:cs="Times New Roman" w:eastAsia="Times New Roman" w:hAnsi="Times New Roman"/>
          <w:b/>
          <w:bCs/>
          <w:i/>
          <w:iCs/>
          <w:sz w:val="20"/>
          <w:szCs w:val="20"/>
        </w:rPr>
        <w:t xml:space="preserve">Index Terms: </w:t>
      </w:r>
      <w:r>
        <w:rPr>
          <w:rFonts w:ascii="Times New Roman" w:cs="Times New Roman" w:eastAsia="Times New Roman" w:hAnsi="Times New Roman"/>
          <w:i w:val="false"/>
          <w:iCs w:val="false"/>
          <w:sz w:val="20"/>
          <w:szCs w:val="20"/>
        </w:rPr>
        <w:t xml:space="preserve">sepsis, electronic health records, stacked generalization, </w:t>
        <w:t xml:space="preserve">meta</w:t>
        <w:noBreakHyphen/>
        <w:t xml:space="preserve">learner</w:t>
        <w:t xml:space="preserve">, model calibration, explainable AI, SHAP, </w:t>
        <w:t xml:space="preserve">MIMIC</w:t>
        <w:noBreakHyphen/>
        <w:t xml:space="preserve">IV</w:t>
        <w:t xml:space="preserve">, eICU</w:t>
      </w:r>
    </w:p>
    <w:p>
      <w:pPr>
        <w:keepNext/>
        <w:spacing w:after="60" w:before="90"/>
        <w:jc w:val="center"/>
      </w:pPr>
      <w:r>
        <w:rPr>
          <w:rFonts w:ascii="Times New Roman" w:cs="Times New Roman" w:eastAsia="Times New Roman" w:hAnsi="Times New Roman"/>
          <w:b/>
          <w:bCs/>
          <w:caps/>
          <w:sz w:val="20"/>
          <w:szCs w:val="20"/>
        </w:rPr>
        <w:t xml:space="preserve">I. Introduction</w:t>
      </w:r>
    </w:p>
    <w:p>
      <w:pPr>
        <w:spacing w:after="50" w:line="234"/>
        <w:jc w:val="both"/>
      </w:pPr>
      <w:r>
        <w:rPr>
          <w:rFonts w:ascii="Times New Roman" w:cs="Times New Roman" w:eastAsia="Times New Roman" w:hAnsi="Times New Roman"/>
          <w:i w:val="false"/>
          <w:iCs w:val="false"/>
          <w:sz w:val="20"/>
          <w:szCs w:val="20"/>
        </w:rPr>
        <w:t xml:space="preserve">Sepsis is a life-threatening organ dysfunction caused by a dysregulated host response to infection, and it remains one of the leading causes of morbidity and mortality among critically ill patients worldwide </w:t>
      </w:r>
      <w:hyperlink w:history="1" w:anchor="ref1">
        <w:r>
          <w:rPr>
            <w:rFonts w:ascii="Times New Roman" w:cs="Times New Roman" w:eastAsia="Times New Roman" w:hAnsi="Times New Roman"/>
            <w:b w:val="false"/>
            <w:bCs w:val="false"/>
            <w:i w:val="false"/>
            <w:iCs w:val="false"/>
            <w:color w:val="1155CC"/>
            <w:sz w:val="20"/>
            <w:szCs w:val="20"/>
            <w:u w:val="single"/>
          </w:rPr>
          <w:t xml:space="preserve">[1]</w:t>
        </w:r>
      </w:hyperlink>
      <w:r>
        <w:rPr>
          <w:rFonts w:ascii="Times New Roman" w:cs="Times New Roman" w:eastAsia="Times New Roman" w:hAnsi="Times New Roman"/>
          <w:i w:val="false"/>
          <w:iCs w:val="false"/>
          <w:sz w:val="20"/>
          <w:szCs w:val="20"/>
        </w:rPr>
        <w:t xml:space="preserve">, so accurate and well-calibrated risk stratification early in an Intensive Care Unit (ICU) or hospital stay is a valuable aid to clinical decisions.</w:t>
      </w:r>
    </w:p>
    <w:p>
      <w:pPr>
        <w:spacing w:after="50" w:line="234"/>
        <w:jc w:val="both"/>
      </w:pPr>
      <w:r>
        <w:rPr>
          <w:rFonts w:ascii="Times New Roman" w:cs="Times New Roman" w:eastAsia="Times New Roman" w:hAnsi="Times New Roman"/>
          <w:i w:val="false"/>
          <w:iCs w:val="false"/>
          <w:sz w:val="20"/>
          <w:szCs w:val="20"/>
        </w:rPr>
        <w:t xml:space="preserve">Early approaches relied on bedside severity scores such as the Simplified Acute Physiology Score II (SAPS II) </w:t>
      </w:r>
      <w:hyperlink w:history="1" w:anchor="ref2">
        <w:r>
          <w:rPr>
            <w:rFonts w:ascii="Times New Roman" w:cs="Times New Roman" w:eastAsia="Times New Roman" w:hAnsi="Times New Roman"/>
            <w:b w:val="false"/>
            <w:bCs w:val="false"/>
            <w:i w:val="false"/>
            <w:iCs w:val="false"/>
            <w:color w:val="1155CC"/>
            <w:sz w:val="20"/>
            <w:szCs w:val="20"/>
            <w:u w:val="single"/>
          </w:rPr>
          <w:t xml:space="preserve">[2]</w:t>
        </w:r>
      </w:hyperlink>
      <w:r>
        <w:rPr>
          <w:rFonts w:ascii="Times New Roman" w:cs="Times New Roman" w:eastAsia="Times New Roman" w:hAnsi="Times New Roman"/>
          <w:i w:val="false"/>
          <w:iCs w:val="false"/>
          <w:sz w:val="20"/>
          <w:szCs w:val="20"/>
        </w:rPr>
        <w:t xml:space="preserve">, which combine a small set of physiological and laboratory variables into one risk estimate. These scores are transparent, but their fixed form limits discrimination compared with what full Electronic Health Record (EHR) data allow. The release of large critical-care databases such as </w:t>
        <w:t xml:space="preserve">MIMIC</w:t>
        <w:noBreakHyphen/>
        <w:t xml:space="preserve">IV</w:t>
        <w:t xml:space="preserve"> </w:t>
      </w:r>
      <w:hyperlink w:history="1" w:anchor="ref3">
        <w:r>
          <w:rPr>
            <w:rFonts w:ascii="Times New Roman" w:cs="Times New Roman" w:eastAsia="Times New Roman" w:hAnsi="Times New Roman"/>
            <w:b w:val="false"/>
            <w:bCs w:val="false"/>
            <w:i w:val="false"/>
            <w:iCs w:val="false"/>
            <w:color w:val="1155CC"/>
            <w:sz w:val="20"/>
            <w:szCs w:val="20"/>
            <w:u w:val="single"/>
          </w:rPr>
          <w:t xml:space="preserve">[3]</w:t>
        </w:r>
      </w:hyperlink>
      <w:r>
        <w:rPr>
          <w:rFonts w:ascii="Times New Roman" w:cs="Times New Roman" w:eastAsia="Times New Roman" w:hAnsi="Times New Roman"/>
          <w:i w:val="false"/>
          <w:iCs w:val="false"/>
          <w:sz w:val="20"/>
          <w:szCs w:val="20"/>
        </w:rPr>
        <w:t xml:space="preserve"> and eICU </w:t>
      </w:r>
      <w:hyperlink w:history="1" w:anchor="ref4">
        <w:r>
          <w:rPr>
            <w:rFonts w:ascii="Times New Roman" w:cs="Times New Roman" w:eastAsia="Times New Roman" w:hAnsi="Times New Roman"/>
            <w:b w:val="false"/>
            <w:bCs w:val="false"/>
            <w:i w:val="false"/>
            <w:iCs w:val="false"/>
            <w:color w:val="1155CC"/>
            <w:sz w:val="20"/>
            <w:szCs w:val="20"/>
            <w:u w:val="single"/>
          </w:rPr>
          <w:t xml:space="preserve">[4]</w:t>
        </w:r>
      </w:hyperlink>
      <w:r>
        <w:rPr>
          <w:rFonts w:ascii="Times New Roman" w:cs="Times New Roman" w:eastAsia="Times New Roman" w:hAnsi="Times New Roman"/>
          <w:i w:val="false"/>
          <w:iCs w:val="false"/>
          <w:sz w:val="20"/>
          <w:szCs w:val="20"/>
        </w:rPr>
        <w:t xml:space="preserve"> moved the field toward supervised machine learning, and </w:t>
        <w:t xml:space="preserve">gradient</w:t>
        <w:noBreakHyphen/>
        <w:t xml:space="preserve">boosted</w:t>
        <w:t xml:space="preserve"> trees, most often eXtreme Gradient Boosting (XGBoost) </w:t>
      </w:r>
      <w:hyperlink w:history="1" w:anchor="ref5">
        <w:r>
          <w:rPr>
            <w:rFonts w:ascii="Times New Roman" w:cs="Times New Roman" w:eastAsia="Times New Roman" w:hAnsi="Times New Roman"/>
            <w:b w:val="false"/>
            <w:bCs w:val="false"/>
            <w:i w:val="false"/>
            <w:iCs w:val="false"/>
            <w:color w:val="1155CC"/>
            <w:sz w:val="20"/>
            <w:szCs w:val="20"/>
            <w:u w:val="single"/>
          </w:rPr>
          <w:t xml:space="preserve">[5]</w:t>
        </w:r>
      </w:hyperlink>
      <w:r>
        <w:rPr>
          <w:rFonts w:ascii="Times New Roman" w:cs="Times New Roman" w:eastAsia="Times New Roman" w:hAnsi="Times New Roman"/>
          <w:i w:val="false"/>
          <w:iCs w:val="false"/>
          <w:sz w:val="20"/>
          <w:szCs w:val="20"/>
        </w:rPr>
        <w:t xml:space="preserve">, are now a common choice for sepsis-related mortality prediction on these data </w:t>
      </w:r>
      <w:hyperlink w:history="1" w:anchor="ref6">
        <w:r>
          <w:rPr>
            <w:rFonts w:ascii="Times New Roman" w:cs="Times New Roman" w:eastAsia="Times New Roman" w:hAnsi="Times New Roman"/>
            <w:b w:val="false"/>
            <w:bCs w:val="false"/>
            <w:i w:val="false"/>
            <w:iCs w:val="false"/>
            <w:color w:val="1155CC"/>
            <w:sz w:val="20"/>
            <w:szCs w:val="20"/>
            <w:u w:val="single"/>
          </w:rPr>
          <w:t xml:space="preserve">[6]</w:t>
        </w:r>
      </w:hyperlink>
      <w:r>
        <w:rPr>
          <w:rFonts w:ascii="Times New Roman" w:cs="Times New Roman" w:eastAsia="Times New Roman" w:hAnsi="Times New Roman"/>
          <w:i w:val="false"/>
          <w:iCs w:val="false"/>
          <w:sz w:val="20"/>
          <w:szCs w:val="20"/>
        </w:rPr>
        <w:t xml:space="preserve">. Several studies combine multiple base learners into stacked ensembles </w:t>
      </w:r>
      <w:hyperlink w:history="1" w:anchor="ref7">
        <w:r>
          <w:rPr>
            <w:rFonts w:ascii="Times New Roman" w:cs="Times New Roman" w:eastAsia="Times New Roman" w:hAnsi="Times New Roman"/>
            <w:b w:val="false"/>
            <w:bCs w:val="false"/>
            <w:i w:val="false"/>
            <w:iCs w:val="false"/>
            <w:color w:val="1155CC"/>
            <w:sz w:val="20"/>
            <w:szCs w:val="20"/>
            <w:u w:val="single"/>
          </w:rPr>
          <w:t xml:space="preserve">[7]</w:t>
        </w:r>
      </w:hyperlink>
      <w:r>
        <w:rPr>
          <w:rFonts w:ascii="Times New Roman" w:cs="Times New Roman" w:eastAsia="Times New Roman" w:hAnsi="Times New Roman"/>
          <w:i w:val="false"/>
          <w:iCs w:val="false"/>
          <w:sz w:val="20"/>
          <w:szCs w:val="20"/>
        </w:rPr>
        <w:t xml:space="preserve">, </w:t>
      </w:r>
      <w:hyperlink w:history="1" w:anchor="ref8">
        <w:r>
          <w:rPr>
            <w:rFonts w:ascii="Times New Roman" w:cs="Times New Roman" w:eastAsia="Times New Roman" w:hAnsi="Times New Roman"/>
            <w:b w:val="false"/>
            <w:bCs w:val="false"/>
            <w:i w:val="false"/>
            <w:iCs w:val="false"/>
            <w:color w:val="1155CC"/>
            <w:sz w:val="20"/>
            <w:szCs w:val="20"/>
            <w:u w:val="single"/>
          </w:rPr>
          <w:t xml:space="preserve">[8]</w:t>
        </w:r>
      </w:hyperlink>
      <w:r>
        <w:rPr>
          <w:rFonts w:ascii="Times New Roman" w:cs="Times New Roman" w:eastAsia="Times New Roman" w:hAnsi="Times New Roman"/>
          <w:i w:val="false"/>
          <w:iCs w:val="false"/>
          <w:sz w:val="20"/>
          <w:szCs w:val="20"/>
        </w:rPr>
        <w:t xml:space="preserve">. In parallel, SHapley Additive exPlanations (SHAP) </w:t>
      </w:r>
      <w:hyperlink w:history="1" w:anchor="ref9">
        <w:r>
          <w:rPr>
            <w:rFonts w:ascii="Times New Roman" w:cs="Times New Roman" w:eastAsia="Times New Roman" w:hAnsi="Times New Roman"/>
            <w:b w:val="false"/>
            <w:bCs w:val="false"/>
            <w:i w:val="false"/>
            <w:iCs w:val="false"/>
            <w:color w:val="1155CC"/>
            <w:sz w:val="20"/>
            <w:szCs w:val="20"/>
            <w:u w:val="single"/>
          </w:rPr>
          <w:t xml:space="preserve">[9]</w:t>
        </w:r>
      </w:hyperlink>
      <w:r>
        <w:rPr>
          <w:rFonts w:ascii="Times New Roman" w:cs="Times New Roman" w:eastAsia="Times New Roman" w:hAnsi="Times New Roman"/>
          <w:i w:val="false"/>
          <w:iCs w:val="false"/>
          <w:sz w:val="20"/>
          <w:szCs w:val="20"/>
        </w:rPr>
        <w:t xml:space="preserve"> are widely used to explain such models on sepsis outcomes </w:t>
      </w:r>
      <w:hyperlink w:history="1" w:anchor="ref6">
        <w:r>
          <w:rPr>
            <w:rFonts w:ascii="Times New Roman" w:cs="Times New Roman" w:eastAsia="Times New Roman" w:hAnsi="Times New Roman"/>
            <w:b w:val="false"/>
            <w:bCs w:val="false"/>
            <w:i w:val="false"/>
            <w:iCs w:val="false"/>
            <w:color w:val="1155CC"/>
            <w:sz w:val="20"/>
            <w:szCs w:val="20"/>
            <w:u w:val="single"/>
          </w:rPr>
          <w:t xml:space="preserve">[6]</w:t>
        </w:r>
      </w:hyperlink>
      <w:r>
        <w:rPr>
          <w:rFonts w:ascii="Times New Roman" w:cs="Times New Roman" w:eastAsia="Times New Roman" w:hAnsi="Times New Roman"/>
          <w:i w:val="false"/>
          <w:iCs w:val="false"/>
          <w:sz w:val="20"/>
          <w:szCs w:val="20"/>
        </w:rPr>
        <w:t xml:space="preserve">, </w:t>
      </w:r>
      <w:hyperlink w:history="1" w:anchor="ref10">
        <w:r>
          <w:rPr>
            <w:rFonts w:ascii="Times New Roman" w:cs="Times New Roman" w:eastAsia="Times New Roman" w:hAnsi="Times New Roman"/>
            <w:b w:val="false"/>
            <w:bCs w:val="false"/>
            <w:i w:val="false"/>
            <w:iCs w:val="false"/>
            <w:color w:val="1155CC"/>
            <w:sz w:val="20"/>
            <w:szCs w:val="20"/>
            <w:u w:val="single"/>
          </w:rPr>
          <w:t xml:space="preserve">[10]</w:t>
        </w:r>
      </w:hyperlink>
      <w:r>
        <w:rPr>
          <w:rFonts w:ascii="Times New Roman" w:cs="Times New Roman" w:eastAsia="Times New Roman" w:hAnsi="Times New Roman"/>
          <w:i w:val="false"/>
          <w:iCs w:val="false"/>
          <w:sz w:val="20"/>
          <w:szCs w:val="20"/>
        </w:rPr>
        <w:t xml:space="preserve">.</w:t>
      </w:r>
    </w:p>
    <w:p>
      <w:pPr>
        <w:spacing w:after="50" w:line="234"/>
        <w:jc w:val="both"/>
      </w:pPr>
      <w:r>
        <w:rPr>
          <w:rFonts w:ascii="Times New Roman" w:cs="Times New Roman" w:eastAsia="Times New Roman" w:hAnsi="Times New Roman"/>
          <w:i w:val="false"/>
          <w:iCs w:val="false"/>
          <w:sz w:val="20"/>
          <w:szCs w:val="20"/>
        </w:rPr>
        <w:t xml:space="preserve">Three gaps can undermine such comparisons: a stacked ensemble and a single model may be evaluated on different folds or tuning budgets without reporting the </w:t>
        <w:t xml:space="preserve">meta</w:t>
        <w:noBreakHyphen/>
        <w:t xml:space="preserve">learner</w:t>
        <w:t xml:space="preserve">; calibration is often omitted; and </w:t>
        <w:t xml:space="preserve">length</w:t>
        <w:noBreakHyphen/>
        <w:t xml:space="preserve">of</w:t>
        <w:noBreakHyphen/>
        <w:t xml:space="preserve">stay</w:t>
        <w:t xml:space="preserve"> feature windows or </w:t>
        <w:t xml:space="preserve">feature</w:t>
        <w:noBreakHyphen/>
        <w:t xml:space="preserve">selection</w:t>
        <w:t xml:space="preserve"> rankings can overlap the outcome period or the test folds.</w:t>
      </w:r>
    </w:p>
    <w:p>
      <w:pPr>
        <w:spacing w:after="50" w:line="234"/>
        <w:jc w:val="both"/>
      </w:pPr>
      <w:r>
        <w:rPr>
          <w:rFonts w:ascii="Times New Roman" w:cs="Times New Roman" w:eastAsia="Times New Roman" w:hAnsi="Times New Roman"/>
          <w:i w:val="false"/>
          <w:iCs w:val="false"/>
          <w:sz w:val="20"/>
          <w:szCs w:val="20"/>
        </w:rPr>
        <w:t xml:space="preserve">This paper replicates the </w:t>
        <w:t xml:space="preserve">EHR</w:t>
        <w:noBreakHyphen/>
        <w:t xml:space="preserve">ML</w:t>
        <w:t xml:space="preserve"> framework, a two-layer stacked ensemble whose </w:t>
        <w:t xml:space="preserve">Level</w:t>
        <w:noBreakHyphen/>
        <w:t xml:space="preserve">1</w:t>
        <w:t xml:space="preserve"> base learners (XGBoost, logistic regression, LightGBM </w:t>
      </w:r>
      <w:hyperlink w:history="1" w:anchor="ref11">
        <w:r>
          <w:rPr>
            <w:rFonts w:ascii="Times New Roman" w:cs="Times New Roman" w:eastAsia="Times New Roman" w:hAnsi="Times New Roman"/>
            <w:b w:val="false"/>
            <w:bCs w:val="false"/>
            <w:i w:val="false"/>
            <w:iCs w:val="false"/>
            <w:color w:val="1155CC"/>
            <w:sz w:val="20"/>
            <w:szCs w:val="20"/>
            <w:u w:val="single"/>
          </w:rPr>
          <w:t xml:space="preserve">[11]</w:t>
        </w:r>
      </w:hyperlink>
      <w:r>
        <w:rPr>
          <w:rFonts w:ascii="Times New Roman" w:cs="Times New Roman" w:eastAsia="Times New Roman" w:hAnsi="Times New Roman"/>
          <w:i w:val="false"/>
          <w:iCs w:val="false"/>
          <w:sz w:val="20"/>
          <w:szCs w:val="20"/>
        </w:rPr>
        <w:t xml:space="preserve"> and a Multilayer Perceptron (MLP)) feed a </w:t>
        <w:t xml:space="preserve">Level</w:t>
        <w:noBreakHyphen/>
        <w:t xml:space="preserve">2</w:t>
        <w:t xml:space="preserve"> </w:t>
        <w:t xml:space="preserve">meta</w:t>
        <w:noBreakHyphen/>
        <w:t xml:space="preserve">learner</w:t>
        <w:t xml:space="preserve">, on </w:t>
        <w:t xml:space="preserve">MIMIC</w:t>
        <w:noBreakHyphen/>
        <w:t xml:space="preserve">IV</w:t>
        <w:t xml:space="preserve"> and eICU sepsis cohorts, and re-tests its central design choice under a controlled protocol. We contribute: (1) a comparison of stacking and single models on identical folds with five </w:t>
        <w:t xml:space="preserve">Level</w:t>
        <w:noBreakHyphen/>
        <w:t xml:space="preserve">2</w:t>
        <w:t xml:space="preserve"> options, an equal per-model tuning budget and four </w:t>
        <w:t xml:space="preserve">Level</w:t>
        <w:noBreakHyphen/>
        <w:t xml:space="preserve">1</w:t>
        <w:t xml:space="preserve"> rosters; (2) calibration analysis with Expected Calibration Error (ECE) and calibration slope; (3) sensitivity analyses for cohort size, early deaths, feature coverage and preprocessing; (4) </w:t>
        <w:t xml:space="preserve">leakage</w:t>
        <w:noBreakHyphen/>
        <w:t xml:space="preserve">safe</w:t>
        <w:t xml:space="preserve"> landmark </w:t>
        <w:t xml:space="preserve">length</w:t>
        <w:noBreakHyphen/>
        <w:t xml:space="preserve">of</w:t>
        <w:noBreakHyphen/>
        <w:t xml:space="preserve">stay</w:t>
        <w:t xml:space="preserve"> (LOS) tasks; and (5) SHAP explainability with fold stability and leak-free feature selection.</w:t>
      </w:r>
    </w:p>
    <w:p>
      <w:pPr>
        <w:spacing w:after="50" w:line="234"/>
        <w:jc w:val="both"/>
      </w:pPr>
      <w:r>
        <w:rPr>
          <w:rFonts w:ascii="Times New Roman" w:cs="Times New Roman" w:eastAsia="Times New Roman" w:hAnsi="Times New Roman"/>
          <w:i w:val="false"/>
          <w:iCs w:val="false"/>
          <w:sz w:val="20"/>
          <w:szCs w:val="20"/>
        </w:rPr>
        <w:t xml:space="preserve">In a controlled re-implementation, the stacking penalty comes from the default XGBoost </w:t>
        <w:t xml:space="preserve">meta</w:t>
        <w:noBreakHyphen/>
        <w:t xml:space="preserve">learner</w:t>
        <w:t xml:space="preserve"> of the original pipeline rather than from stacking itself, and no stacking variant significantly outperforms a single XGBoost model.</w:t>
      </w:r>
    </w:p>
    <w:p>
      <w:pPr>
        <w:keepNext/>
        <w:spacing w:after="60" w:before="90"/>
        <w:jc w:val="center"/>
      </w:pPr>
      <w:r>
        <w:rPr>
          <w:rFonts w:ascii="Times New Roman" w:cs="Times New Roman" w:eastAsia="Times New Roman" w:hAnsi="Times New Roman"/>
          <w:b/>
          <w:bCs/>
          <w:caps/>
          <w:sz w:val="20"/>
          <w:szCs w:val="20"/>
        </w:rPr>
        <w:t xml:space="preserve">II. Related Work</w:t>
      </w:r>
    </w:p>
    <w:p>
      <w:pPr>
        <w:spacing w:after="50" w:line="234"/>
        <w:jc w:val="both"/>
      </w:pPr>
      <w:r>
        <w:rPr>
          <w:rFonts w:ascii="Times New Roman" w:cs="Times New Roman" w:eastAsia="Times New Roman" w:hAnsi="Times New Roman"/>
          <w:i w:val="false"/>
          <w:iCs w:val="false"/>
          <w:sz w:val="20"/>
          <w:szCs w:val="20"/>
        </w:rPr>
        <w:t xml:space="preserve">Severity scores such as SAPS II </w:t>
      </w:r>
      <w:hyperlink w:history="1" w:anchor="ref2">
        <w:r>
          <w:rPr>
            <w:rFonts w:ascii="Times New Roman" w:cs="Times New Roman" w:eastAsia="Times New Roman" w:hAnsi="Times New Roman"/>
            <w:b w:val="false"/>
            <w:bCs w:val="false"/>
            <w:i w:val="false"/>
            <w:iCs w:val="false"/>
            <w:color w:val="1155CC"/>
            <w:sz w:val="20"/>
            <w:szCs w:val="20"/>
            <w:u w:val="single"/>
          </w:rPr>
          <w:t xml:space="preserve">[2]</w:t>
        </w:r>
      </w:hyperlink>
      <w:r>
        <w:rPr>
          <w:rFonts w:ascii="Times New Roman" w:cs="Times New Roman" w:eastAsia="Times New Roman" w:hAnsi="Times New Roman"/>
          <w:i w:val="false"/>
          <w:iCs w:val="false"/>
          <w:sz w:val="20"/>
          <w:szCs w:val="20"/>
        </w:rPr>
        <w:t xml:space="preserve"> and the Sequential Organ Failure Assessment (SOFA) score are transparent, but data-driven models often discriminate better: an XGBoost model outperformed conventional scoring systems for 28-day mortality in sepsis-induced coagulopathy </w:t>
      </w:r>
      <w:hyperlink w:history="1" w:anchor="ref10">
        <w:r>
          <w:rPr>
            <w:rFonts w:ascii="Times New Roman" w:cs="Times New Roman" w:eastAsia="Times New Roman" w:hAnsi="Times New Roman"/>
            <w:b w:val="false"/>
            <w:bCs w:val="false"/>
            <w:i w:val="false"/>
            <w:iCs w:val="false"/>
            <w:color w:val="1155CC"/>
            <w:sz w:val="20"/>
            <w:szCs w:val="20"/>
            <w:u w:val="single"/>
          </w:rPr>
          <w:t xml:space="preserve">[10]</w:t>
        </w:r>
      </w:hyperlink>
      <w:r>
        <w:rPr>
          <w:rFonts w:ascii="Times New Roman" w:cs="Times New Roman" w:eastAsia="Times New Roman" w:hAnsi="Times New Roman"/>
          <w:i w:val="false"/>
          <w:iCs w:val="false"/>
          <w:sz w:val="20"/>
          <w:szCs w:val="20"/>
        </w:rPr>
        <w:t xml:space="preserve">, and interpretable </w:t>
        <w:t xml:space="preserve">gradient</w:t>
        <w:noBreakHyphen/>
        <w:t xml:space="preserve">boosted</w:t>
        <w:t xml:space="preserve"> models predict early sepsis mortality </w:t>
      </w:r>
      <w:hyperlink w:history="1" w:anchor="ref12">
        <w:r>
          <w:rPr>
            <w:rFonts w:ascii="Times New Roman" w:cs="Times New Roman" w:eastAsia="Times New Roman" w:hAnsi="Times New Roman"/>
            <w:b w:val="false"/>
            <w:bCs w:val="false"/>
            <w:i w:val="false"/>
            <w:iCs w:val="false"/>
            <w:color w:val="1155CC"/>
            <w:sz w:val="20"/>
            <w:szCs w:val="20"/>
            <w:u w:val="single"/>
          </w:rPr>
          <w:t xml:space="preserve">[12]</w:t>
        </w:r>
      </w:hyperlink>
      <w:r>
        <w:rPr>
          <w:rFonts w:ascii="Times New Roman" w:cs="Times New Roman" w:eastAsia="Times New Roman" w:hAnsi="Times New Roman"/>
          <w:i w:val="false"/>
          <w:iCs w:val="false"/>
          <w:sz w:val="20"/>
          <w:szCs w:val="20"/>
        </w:rPr>
        <w:t xml:space="preserve">.</w:t>
      </w:r>
    </w:p>
    <w:p>
      <w:pPr>
        <w:spacing w:after="50" w:line="234"/>
        <w:jc w:val="both"/>
      </w:pPr>
      <w:r>
        <w:rPr>
          <w:rFonts w:ascii="Times New Roman" w:cs="Times New Roman" w:eastAsia="Times New Roman" w:hAnsi="Times New Roman"/>
          <w:i w:val="false"/>
          <w:iCs w:val="false"/>
          <w:sz w:val="20"/>
          <w:szCs w:val="20"/>
        </w:rPr>
        <w:t xml:space="preserve">On </w:t>
        <w:t xml:space="preserve">MIMIC</w:t>
        <w:noBreakHyphen/>
        <w:t xml:space="preserve">IV</w:t>
        <w:t xml:space="preserve"> and eICU, </w:t>
        <w:t xml:space="preserve">gradient</w:t>
        <w:noBreakHyphen/>
        <w:t xml:space="preserve">boosted</w:t>
        <w:t xml:space="preserve"> trees are often combined with SHAP to identify drivers of mortality; in sepsis-associated acute kidney injury, an XGBoost model validated on eICU ranked lactate and respiratory rate among its main predictors </w:t>
      </w:r>
      <w:hyperlink w:history="1" w:anchor="ref6">
        <w:r>
          <w:rPr>
            <w:rFonts w:ascii="Times New Roman" w:cs="Times New Roman" w:eastAsia="Times New Roman" w:hAnsi="Times New Roman"/>
            <w:b w:val="false"/>
            <w:bCs w:val="false"/>
            <w:i w:val="false"/>
            <w:iCs w:val="false"/>
            <w:color w:val="1155CC"/>
            <w:sz w:val="20"/>
            <w:szCs w:val="20"/>
            <w:u w:val="single"/>
          </w:rPr>
          <w:t xml:space="preserve">[6]</w:t>
        </w:r>
      </w:hyperlink>
      <w:r>
        <w:rPr>
          <w:rFonts w:ascii="Times New Roman" w:cs="Times New Roman" w:eastAsia="Times New Roman" w:hAnsi="Times New Roman"/>
          <w:i w:val="false"/>
          <w:iCs w:val="false"/>
          <w:sz w:val="20"/>
          <w:szCs w:val="20"/>
        </w:rPr>
        <w:t xml:space="preserve">. Stacked ensembles gave the best discrimination among the models compared in one study </w:t>
      </w:r>
      <w:hyperlink w:history="1" w:anchor="ref8">
        <w:r>
          <w:rPr>
            <w:rFonts w:ascii="Times New Roman" w:cs="Times New Roman" w:eastAsia="Times New Roman" w:hAnsi="Times New Roman"/>
            <w:b w:val="false"/>
            <w:bCs w:val="false"/>
            <w:i w:val="false"/>
            <w:iCs w:val="false"/>
            <w:color w:val="1155CC"/>
            <w:sz w:val="20"/>
            <w:szCs w:val="20"/>
            <w:u w:val="single"/>
          </w:rPr>
          <w:t xml:space="preserve">[8]</w:t>
        </w:r>
      </w:hyperlink>
      <w:r>
        <w:rPr>
          <w:rFonts w:ascii="Times New Roman" w:cs="Times New Roman" w:eastAsia="Times New Roman" w:hAnsi="Times New Roman"/>
          <w:i w:val="false"/>
          <w:iCs w:val="false"/>
          <w:sz w:val="20"/>
          <w:szCs w:val="20"/>
        </w:rPr>
        <w:t xml:space="preserve">, whereas in a multicenter study stacked and single </w:t>
        <w:t xml:space="preserve">gradient</w:t>
        <w:noBreakHyphen/>
        <w:t xml:space="preserve">boosted</w:t>
        <w:t xml:space="preserve"> models reached similar internal discrimination </w:t>
      </w:r>
      <w:hyperlink w:history="1" w:anchor="ref13">
        <w:r>
          <w:rPr>
            <w:rFonts w:ascii="Times New Roman" w:cs="Times New Roman" w:eastAsia="Times New Roman" w:hAnsi="Times New Roman"/>
            <w:b w:val="false"/>
            <w:bCs w:val="false"/>
            <w:i w:val="false"/>
            <w:iCs w:val="false"/>
            <w:color w:val="1155CC"/>
            <w:sz w:val="20"/>
            <w:szCs w:val="20"/>
            <w:u w:val="single"/>
          </w:rPr>
          <w:t xml:space="preserve">[13]</w:t>
        </w:r>
      </w:hyperlink>
      <w:r>
        <w:rPr>
          <w:rFonts w:ascii="Times New Roman" w:cs="Times New Roman" w:eastAsia="Times New Roman" w:hAnsi="Times New Roman"/>
          <w:i w:val="false"/>
          <w:iCs w:val="false"/>
          <w:sz w:val="20"/>
          <w:szCs w:val="20"/>
        </w:rPr>
        <w:t xml:space="preserve">. Two recent scoping reviews describe the wide range of models, features and evaluation choices in </w:t>
        <w:t xml:space="preserve">machine</w:t>
        <w:noBreakHyphen/>
        <w:t xml:space="preserve">learning</w:t>
        <w:t xml:space="preserve"> sepsis prediction </w:t>
      </w:r>
      <w:hyperlink w:history="1" w:anchor="ref14">
        <w:r>
          <w:rPr>
            <w:rFonts w:ascii="Times New Roman" w:cs="Times New Roman" w:eastAsia="Times New Roman" w:hAnsi="Times New Roman"/>
            <w:b w:val="false"/>
            <w:bCs w:val="false"/>
            <w:i w:val="false"/>
            <w:iCs w:val="false"/>
            <w:color w:val="1155CC"/>
            <w:sz w:val="20"/>
            <w:szCs w:val="20"/>
            <w:u w:val="single"/>
          </w:rPr>
          <w:t xml:space="preserve">[14]</w:t>
        </w:r>
      </w:hyperlink>
      <w:r>
        <w:rPr>
          <w:rFonts w:ascii="Times New Roman" w:cs="Times New Roman" w:eastAsia="Times New Roman" w:hAnsi="Times New Roman"/>
          <w:i w:val="false"/>
          <w:iCs w:val="false"/>
          <w:sz w:val="20"/>
          <w:szCs w:val="20"/>
        </w:rPr>
        <w:t xml:space="preserve">, </w:t>
      </w:r>
      <w:hyperlink w:history="1" w:anchor="ref15">
        <w:r>
          <w:rPr>
            <w:rFonts w:ascii="Times New Roman" w:cs="Times New Roman" w:eastAsia="Times New Roman" w:hAnsi="Times New Roman"/>
            <w:b w:val="false"/>
            <w:bCs w:val="false"/>
            <w:i w:val="false"/>
            <w:iCs w:val="false"/>
            <w:color w:val="1155CC"/>
            <w:sz w:val="20"/>
            <w:szCs w:val="20"/>
            <w:u w:val="single"/>
          </w:rPr>
          <w:t xml:space="preserve">[15]</w:t>
        </w:r>
      </w:hyperlink>
      <w:r>
        <w:rPr>
          <w:rFonts w:ascii="Times New Roman" w:cs="Times New Roman" w:eastAsia="Times New Roman" w:hAnsi="Times New Roman"/>
          <w:i w:val="false"/>
          <w:iCs w:val="false"/>
          <w:sz w:val="20"/>
          <w:szCs w:val="20"/>
        </w:rPr>
        <w:t xml:space="preserve">.</w:t>
      </w:r>
    </w:p>
    <w:p>
      <w:pPr>
        <w:spacing w:after="50" w:line="234"/>
        <w:jc w:val="both"/>
      </w:pPr>
      <w:r>
        <w:rPr>
          <w:rFonts w:ascii="Times New Roman" w:cs="Times New Roman" w:eastAsia="Times New Roman" w:hAnsi="Times New Roman"/>
          <w:i w:val="false"/>
          <w:iCs w:val="false"/>
          <w:sz w:val="20"/>
          <w:szCs w:val="20"/>
        </w:rPr>
        <w:t xml:space="preserve">Unlike these studies, we compare stacking with a single model on identical folds under the same configuration or tuning budget, name the </w:t>
        <w:t xml:space="preserve">meta</w:t>
        <w:noBreakHyphen/>
        <w:t xml:space="preserve">learner</w:t>
        <w:t xml:space="preserve">, and report calibration and corrected confidence intervals with discrimination.</w:t>
      </w:r>
    </w:p>
    <w:p>
      <w:pPr>
        <w:keepNext/>
        <w:spacing w:after="60" w:before="90"/>
        <w:jc w:val="center"/>
      </w:pPr>
      <w:r>
        <w:rPr>
          <w:rFonts w:ascii="Times New Roman" w:cs="Times New Roman" w:eastAsia="Times New Roman" w:hAnsi="Times New Roman"/>
          <w:b/>
          <w:bCs/>
          <w:caps/>
          <w:sz w:val="20"/>
          <w:szCs w:val="20"/>
        </w:rPr>
        <w:t xml:space="preserve">III. Materials and Methods</w:t>
      </w:r>
    </w:p>
    <w:p>
      <w:pPr>
        <w:spacing w:after="50" w:line="234"/>
        <w:jc w:val="both"/>
      </w:pPr>
      <w:hyperlink w:history="1" w:anchor="fig1">
        <w:r>
          <w:rPr>
            <w:rFonts w:ascii="Times New Roman" w:cs="Times New Roman" w:eastAsia="Times New Roman" w:hAnsi="Times New Roman"/>
            <w:b w:val="false"/>
            <w:bCs w:val="false"/>
            <w:i w:val="false"/>
            <w:iCs w:val="false"/>
            <w:color w:val="1155CC"/>
            <w:sz w:val="20"/>
            <w:szCs w:val="20"/>
            <w:u w:val="single"/>
          </w:rPr>
          <w:t xml:space="preserve">Fig. 1</w:t>
        </w:r>
      </w:hyperlink>
      <w:r>
        <w:rPr>
          <w:rFonts w:ascii="Times New Roman" w:cs="Times New Roman" w:eastAsia="Times New Roman" w:hAnsi="Times New Roman"/>
          <w:i w:val="false"/>
          <w:iCs w:val="false"/>
          <w:sz w:val="20"/>
          <w:szCs w:val="20"/>
        </w:rPr>
        <w:t xml:space="preserve"> summarizes the replicated pipeline (left) and the analyses added in this study (right).</w:t>
      </w:r>
    </w:p>
    <w:p>
      <w:pPr>
        <w:sectPr>
          <w:type w:val="continuous"/>
          <w:pgSz w:w="12240" w:h="15840" w:orient="portrait"/>
          <w:pgMar w:top="720" w:right="1080" w:bottom="1080" w:left="1080" w:header="708" w:footer="708" w:gutter="0"/>
          <w:pgNumType/>
          <w:cols w:space="288" w:num="2"/>
          <w:docGrid w:linePitch="360"/>
        </w:sectPr>
      </w:pPr>
    </w:p>
    <w:p>
      <w:pPr>
        <w:keepNext/>
        <w:spacing w:after="40" w:before="60"/>
        <w:jc w:val="center"/>
      </w:pPr>
      <w:r>
        <w:drawing>
          <wp:inline distT="0" distB="0" distL="0" distR="0">
            <wp:extent cx="4389120" cy="1912402"/>
            <wp:effectExtent t="0" r="0" b="0" l="0"/>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V3F1" cstate="none"/>
                    <a:srcRect/>
                    <a:stretch>
                      <a:fillRect/>
                    </a:stretch>
                  </pic:blipFill>
                  <pic:spPr bwMode="auto">
                    <a:xfrm>
                      <a:off x="0" y="0"/>
                      <a:ext cx="4389120" cy="1912402"/>
                    </a:xfrm>
                    <a:prstGeom prst="rect">
                      <a:avLst/>
                    </a:prstGeom>
                  </pic:spPr>
                </pic:pic>
              </a:graphicData>
            </a:graphic>
          </wp:inline>
        </w:drawing>
      </w:r>
    </w:p>
    <w:p>
      <w:pPr>
        <w:spacing w:after="120"/>
        <w:jc w:val="center"/>
      </w:pPr>
      <w:bookmarkStart w:name="fig1" w:id="1001"/>
      <w:r>
        <w:rPr>
          <w:rFonts w:ascii="Times New Roman" w:cs="Times New Roman" w:eastAsia="Times New Roman" w:hAnsi="Times New Roman"/>
          <w:sz w:val="16"/>
          <w:szCs w:val="16"/>
        </w:rPr>
        <w:t xml:space="preserve">Fig. 1.</w:t>
      </w:r>
      <w:bookmarkEnd w:id="1001"/>
      <w:r>
        <w:rPr>
          <w:rFonts w:ascii="Times New Roman" w:cs="Times New Roman" w:eastAsia="Times New Roman" w:hAnsi="Times New Roman"/>
          <w:sz w:val="16"/>
          <w:szCs w:val="16"/>
        </w:rPr>
        <w:t xml:space="preserve"> The replicated </w:t>
        <w:t xml:space="preserve">EHR</w:t>
        <w:noBreakHyphen/>
        <w:t xml:space="preserve">ML</w:t>
        <w:t xml:space="preserve"> pipeline (left) and the analyses added in this study (right). CV: </w:t>
        <w:t xml:space="preserve">cross</w:t>
        <w:noBreakHyphen/>
        <w:t xml:space="preserve">validation</w:t>
        <w:t xml:space="preserve">; LR: logistic regression; kNN: </w:t>
        <w:t xml:space="preserve">k</w:t>
        <w:noBreakHyphen/>
        <w:t xml:space="preserve">nearest</w:t>
        <w:t xml:space="preserve"> neighbors; RF: random forest; NB: naive Bayes; CI: confidence interval.</w:t>
      </w:r>
    </w:p>
    <w:p>
      <w:pPr>
        <w:sectPr>
          <w:type w:val="continuous"/>
          <w:pgSz w:w="12240" w:h="15840" w:orient="portrait"/>
          <w:pgMar w:top="720" w:right="1080" w:bottom="1080" w:left="1080" w:header="708" w:footer="708" w:gutter="0"/>
          <w:pgNumType/>
          <w:cols w:space="288" w:num="1"/>
          <w:docGrid w:linePitch="360"/>
        </w:sectPr>
      </w:pPr>
    </w:p>
    <w:p>
      <w:pPr>
        <w:keepNext/>
        <w:spacing w:after="50" w:before="80"/>
      </w:pPr>
      <w:r>
        <w:rPr>
          <w:rFonts w:ascii="Times New Roman" w:cs="Times New Roman" w:eastAsia="Times New Roman" w:hAnsi="Times New Roman"/>
          <w:b/>
          <w:bCs/>
          <w:i/>
          <w:iCs/>
          <w:sz w:val="20"/>
          <w:szCs w:val="20"/>
        </w:rPr>
        <w:t xml:space="preserve">A. Data, Cohorts and Prediction Windows</w:t>
      </w:r>
    </w:p>
    <w:p>
      <w:pPr>
        <w:spacing w:after="50" w:line="234"/>
        <w:jc w:val="both"/>
      </w:pPr>
      <w:r>
        <w:rPr>
          <w:rFonts w:ascii="Times New Roman" w:cs="Times New Roman" w:eastAsia="Times New Roman" w:hAnsi="Times New Roman"/>
          <w:i w:val="false"/>
          <w:iCs w:val="false"/>
          <w:sz w:val="20"/>
          <w:szCs w:val="20"/>
        </w:rPr>
        <w:t xml:space="preserve">We used </w:t>
        <w:t xml:space="preserve">MIMIC</w:t>
        <w:noBreakHyphen/>
        <w:t xml:space="preserve">IV</w:t>
        <w:t xml:space="preserve"> v3.1 </w:t>
      </w:r>
      <w:hyperlink w:history="1" w:anchor="ref3">
        <w:r>
          <w:rPr>
            <w:rFonts w:ascii="Times New Roman" w:cs="Times New Roman" w:eastAsia="Times New Roman" w:hAnsi="Times New Roman"/>
            <w:b w:val="false"/>
            <w:bCs w:val="false"/>
            <w:i w:val="false"/>
            <w:iCs w:val="false"/>
            <w:color w:val="1155CC"/>
            <w:sz w:val="20"/>
            <w:szCs w:val="20"/>
            <w:u w:val="single"/>
          </w:rPr>
          <w:t xml:space="preserve">[3]</w:t>
        </w:r>
      </w:hyperlink>
      <w:r>
        <w:rPr>
          <w:rFonts w:ascii="Times New Roman" w:cs="Times New Roman" w:eastAsia="Times New Roman" w:hAnsi="Times New Roman"/>
          <w:i w:val="false"/>
          <w:iCs w:val="false"/>
          <w:sz w:val="20"/>
          <w:szCs w:val="20"/>
        </w:rPr>
        <w:t xml:space="preserve">, from a single U.S. teaching hospital, and eICU v2.0 </w:t>
      </w:r>
      <w:hyperlink w:history="1" w:anchor="ref4">
        <w:r>
          <w:rPr>
            <w:rFonts w:ascii="Times New Roman" w:cs="Times New Roman" w:eastAsia="Times New Roman" w:hAnsi="Times New Roman"/>
            <w:b w:val="false"/>
            <w:bCs w:val="false"/>
            <w:i w:val="false"/>
            <w:iCs w:val="false"/>
            <w:color w:val="1155CC"/>
            <w:sz w:val="20"/>
            <w:szCs w:val="20"/>
            <w:u w:val="single"/>
          </w:rPr>
          <w:t xml:space="preserve">[4]</w:t>
        </w:r>
      </w:hyperlink>
      <w:r>
        <w:rPr>
          <w:rFonts w:ascii="Times New Roman" w:cs="Times New Roman" w:eastAsia="Times New Roman" w:hAnsi="Times New Roman"/>
          <w:i w:val="false"/>
          <w:iCs w:val="false"/>
          <w:sz w:val="20"/>
          <w:szCs w:val="20"/>
        </w:rPr>
        <w:t xml:space="preserve">, a multicenter database, both obtained through PhysioNet under credentialed access. Adult sepsis episodes were identified with the International Classification of Diseases (ICD) codes of the original </w:t>
        <w:t xml:space="preserve">EHR</w:t>
        <w:noBreakHyphen/>
        <w:t xml:space="preserve">ML</w:t>
        <w:t xml:space="preserve"> study </w:t>
      </w:r>
      <w:hyperlink w:history="1" w:anchor="ref16">
        <w:r>
          <w:rPr>
            <w:rFonts w:ascii="Times New Roman" w:cs="Times New Roman" w:eastAsia="Times New Roman" w:hAnsi="Times New Roman"/>
            <w:b w:val="false"/>
            <w:bCs w:val="false"/>
            <w:i w:val="false"/>
            <w:iCs w:val="false"/>
            <w:color w:val="1155CC"/>
            <w:sz w:val="20"/>
            <w:szCs w:val="20"/>
            <w:u w:val="single"/>
          </w:rPr>
          <w:t xml:space="preserve">[16]</w:t>
        </w:r>
      </w:hyperlink>
      <w:r>
        <w:rPr>
          <w:rFonts w:ascii="Times New Roman" w:cs="Times New Roman" w:eastAsia="Times New Roman" w:hAnsi="Times New Roman"/>
          <w:i w:val="false"/>
          <w:iCs w:val="false"/>
          <w:sz w:val="20"/>
          <w:szCs w:val="20"/>
        </w:rPr>
        <w:t xml:space="preserve"> (ICD-9 995.91, 995.92, 785.52; ICD-10 A41.9, R65.20, R65.21; eICU: the ICD-9 codes). In </w:t>
        <w:t xml:space="preserve">MIMIC</w:t>
        <w:noBreakHyphen/>
        <w:t xml:space="preserve">IV</w:t>
        <w:t xml:space="preserve"> we kept admissions with sepsis as the principal diagnosis, the first ICU stay per admission, ICU admission within 48 h of hospital admission and the first sepsis admission per patient, which gave 2,545 episodes from 2,545 patients (</w:t>
        <w:t xml:space="preserve">in</w:t>
        <w:noBreakHyphen/>
        <w:t xml:space="preserve">hospital</w:t>
        <w:t xml:space="preserve"> mortality 27.9%), 3.5 times the 729 episodes of </w:t>
      </w:r>
      <w:hyperlink w:history="1" w:anchor="ref16">
        <w:r>
          <w:rPr>
            <w:rFonts w:ascii="Times New Roman" w:cs="Times New Roman" w:eastAsia="Times New Roman" w:hAnsi="Times New Roman"/>
            <w:b w:val="false"/>
            <w:bCs w:val="false"/>
            <w:i w:val="false"/>
            <w:iCs w:val="false"/>
            <w:color w:val="1155CC"/>
            <w:sz w:val="20"/>
            <w:szCs w:val="20"/>
            <w:u w:val="single"/>
          </w:rPr>
          <w:t xml:space="preserve">[16]</w:t>
        </w:r>
      </w:hyperlink>
      <w:r>
        <w:rPr>
          <w:rFonts w:ascii="Times New Roman" w:cs="Times New Roman" w:eastAsia="Times New Roman" w:hAnsi="Times New Roman"/>
          <w:i w:val="false"/>
          <w:iCs w:val="false"/>
          <w:sz w:val="20"/>
          <w:szCs w:val="20"/>
        </w:rPr>
        <w:t xml:space="preserve">. eICU gave 12,688 ICU stays from 10,842 patients (mortality 22.4%). All mortality outcomes are </w:t>
        <w:t xml:space="preserve">in</w:t>
        <w:noBreakHyphen/>
        <w:t xml:space="preserve">hospital</w:t>
        <w:t xml:space="preserve"> death at any time during the admission. </w:t>
        <w:t xml:space="preserve">MIMIC</w:t>
        <w:noBreakHyphen/>
        <w:t xml:space="preserve">IV</w:t>
        <w:t xml:space="preserve"> mortality is predicted from vitals and laboratory values recorded in the first 24 h after hospital admission (2,533 episodes with data) and eICU mortality from the first 72 h of the ICU stay (12,677 stays from 10,835 patients). The 24 h and 72 h refer only to the feature window, not to a prediction horizon; we write </w:t>
        <w:t xml:space="preserve">MIMIC</w:t>
        <w:noBreakHyphen/>
        <w:t xml:space="preserve">IV</w:t>
        <w:t xml:space="preserve"> mortality (24 h data) and eICU mortality (72 h data). Patients who die inside the feature window remain in the cohort (19.9% of </w:t>
        <w:t xml:space="preserve">MIMIC</w:t>
        <w:noBreakHyphen/>
        <w:t xml:space="preserve">IV</w:t>
        <w:t xml:space="preserve"> and 43.4% of eICU deaths), so a model can use measurements taken shortly before death; the tasks measure discrimination from early-admission data, not early warning, and Section III-D tests excluding these deaths. eICU death is a hospital discharge status of Expired; 104 stays with no recorded status are treated as survivors, as in the replicated pipeline, and are checked separately. LOS tasks use </w:t>
        <w:t xml:space="preserve">MIMIC</w:t>
        <w:noBreakHyphen/>
        <w:t xml:space="preserve">IV</w:t>
        <w:t xml:space="preserve"> only and predict an ICU stay longer than 7 or 14 days at a landmark t: features come only from the first t days of the ICU stay, and only patients still in the ICU at t are included (t = 2: 1,470 episodes, prevalence 31.9% and 11.6%; t = 1: 2,067 episodes, 22.7% and 8.2%).</w:t>
      </w:r>
    </w:p>
    <w:p>
      <w:pPr>
        <w:keepNext/>
        <w:spacing w:after="50" w:before="80"/>
      </w:pPr>
      <w:r>
        <w:rPr>
          <w:rFonts w:ascii="Times New Roman" w:cs="Times New Roman" w:eastAsia="Times New Roman" w:hAnsi="Times New Roman"/>
          <w:b/>
          <w:bCs/>
          <w:i/>
          <w:iCs/>
          <w:sz w:val="20"/>
          <w:szCs w:val="20"/>
        </w:rPr>
        <w:t xml:space="preserve">B. Replicated Pipeline and Original Protocol</w:t>
      </w:r>
    </w:p>
    <w:p>
      <w:pPr>
        <w:spacing w:after="50" w:line="234"/>
        <w:jc w:val="both"/>
      </w:pPr>
      <w:r>
        <w:rPr>
          <w:rFonts w:ascii="Times New Roman" w:cs="Times New Roman" w:eastAsia="Times New Roman" w:hAnsi="Times New Roman"/>
          <w:i w:val="false"/>
          <w:iCs w:val="false"/>
          <w:sz w:val="20"/>
          <w:szCs w:val="20"/>
        </w:rPr>
        <w:t xml:space="preserve">Vitals and laboratory values in the observation window are aggregated with five statistics (mean, minimum, maximum, first and last value), giving ten feature subsets; values are clipped at the 1st and 99th percentiles, and features recorded in fewer than 80% of episodes are removed (120 features for </w:t>
        <w:t xml:space="preserve">MIMIC</w:t>
        <w:noBreakHyphen/>
        <w:t xml:space="preserve">IV</w:t>
        <w:t xml:space="preserve"> mortality, 55 for eICU, 120 and 145 for the 1- and 2-day LOS landmarks, where coverage was computed on all 2,545 episodes before the landmark restriction). </w:t>
        <w:t xml:space="preserve">Level</w:t>
        <w:noBreakHyphen/>
        <w:t xml:space="preserve">1</w:t>
        <w:t xml:space="preserve"> trains XGBoost, logistic regression (LR), LightGBM and an MLP on each subset (40 models) with inner 5-fold </w:t>
        <w:t xml:space="preserve">out</w:t>
        <w:noBreakHyphen/>
        <w:t xml:space="preserve">of</w:t>
        <w:noBreakHyphen/>
        <w:t xml:space="preserve">fold</w:t>
        <w:t xml:space="preserve"> predictions, and a </w:t>
        <w:t xml:space="preserve">Level</w:t>
        <w:noBreakHyphen/>
        <w:t xml:space="preserve">2</w:t>
        <w:t xml:space="preserve"> </w:t>
        <w:t xml:space="preserve">meta</w:t>
        <w:noBreakHyphen/>
        <w:t xml:space="preserve">learner</w:t>
        <w:t xml:space="preserve"> combines their probabilities, following stacked generalization </w:t>
      </w:r>
      <w:hyperlink w:history="1" w:anchor="ref7">
        <w:r>
          <w:rPr>
            <w:rFonts w:ascii="Times New Roman" w:cs="Times New Roman" w:eastAsia="Times New Roman" w:hAnsi="Times New Roman"/>
            <w:b w:val="false"/>
            <w:bCs w:val="false"/>
            <w:i w:val="false"/>
            <w:iCs w:val="false"/>
            <w:color w:val="1155CC"/>
            <w:sz w:val="20"/>
            <w:szCs w:val="20"/>
            <w:u w:val="single"/>
          </w:rPr>
          <w:t xml:space="preserve">[7]</w:t>
        </w:r>
      </w:hyperlink>
      <w:r>
        <w:rPr>
          <w:rFonts w:ascii="Times New Roman" w:cs="Times New Roman" w:eastAsia="Times New Roman" w:hAnsi="Times New Roman"/>
          <w:i w:val="false"/>
          <w:iCs w:val="false"/>
          <w:sz w:val="20"/>
          <w:szCs w:val="20"/>
        </w:rPr>
        <w:t xml:space="preserve">. The original pipeline, which we first ran as published with a single 5-fold </w:t>
        <w:t xml:space="preserve">cross</w:t>
        <w:noBreakHyphen/>
        <w:t xml:space="preserve">validation</w:t>
        <w:t xml:space="preserve"> (CV), tuned XGBoost by stepwise grid search (3-fold) on one reference subset (vitals mean) inside each training fold and reused these values for every subset and for LightGBM; LR was grid-searched, the MLP was fixed (two hidden layers of twice the number of inputs, early stopping), and the </w:t>
        <w:t xml:space="preserve">meta</w:t>
        <w:noBreakHyphen/>
        <w:t xml:space="preserve">learner</w:t>
        <w:t xml:space="preserve"> was XGBoost with library defaults (100 trees, depth 6, learning rate 0.3), without tuning. Median imputation was fitted within folds.</w:t>
      </w:r>
    </w:p>
    <w:p>
      <w:pPr>
        <w:keepNext/>
        <w:spacing w:after="50" w:before="80"/>
      </w:pPr>
      <w:r>
        <w:rPr>
          <w:rFonts w:ascii="Times New Roman" w:cs="Times New Roman" w:eastAsia="Times New Roman" w:hAnsi="Times New Roman"/>
          <w:b/>
          <w:bCs/>
          <w:i/>
          <w:iCs/>
          <w:sz w:val="20"/>
          <w:szCs w:val="20"/>
        </w:rPr>
        <w:t xml:space="preserve">C. Controlled Comparison</w:t>
      </w:r>
    </w:p>
    <w:p>
      <w:pPr>
        <w:spacing w:after="50" w:line="234"/>
        <w:jc w:val="both"/>
      </w:pPr>
      <w:r>
        <w:rPr>
          <w:rFonts w:ascii="Times New Roman" w:cs="Times New Roman" w:eastAsia="Times New Roman" w:hAnsi="Times New Roman"/>
          <w:i w:val="false"/>
          <w:iCs w:val="false"/>
          <w:sz w:val="20"/>
          <w:szCs w:val="20"/>
        </w:rPr>
        <w:t xml:space="preserve">We use three evaluation protocols and label every result with one of them. P1 is the original protocol (single 5-fold CV, tuned </w:t>
        <w:t xml:space="preserve">Level</w:t>
        <w:noBreakHyphen/>
        <w:t xml:space="preserve">1</w:t>
        <w:t xml:space="preserve">, default </w:t>
        <w:t xml:space="preserve">meta</w:t>
        <w:noBreakHyphen/>
        <w:t xml:space="preserve">learner</w:t>
        <w:t xml:space="preserve">; Section IV-A only). P2 is the controlled protocol used for all other results unless stated otherwise: identical outer folds (5-fold CV repeated three times, 15 paired scores per method) and fixed model configurations (</w:t>
      </w:r>
      <w:hyperlink w:history="1" w:anchor="tableI">
        <w:r>
          <w:rPr>
            <w:rFonts w:ascii="Times New Roman" w:cs="Times New Roman" w:eastAsia="Times New Roman" w:hAnsi="Times New Roman"/>
            <w:b w:val="false"/>
            <w:bCs w:val="false"/>
            <w:i w:val="false"/>
            <w:iCs w:val="false"/>
            <w:color w:val="1155CC"/>
            <w:sz w:val="20"/>
            <w:szCs w:val="20"/>
            <w:u w:val="single"/>
          </w:rPr>
          <w:t xml:space="preserve">Table I</w:t>
        </w:r>
      </w:hyperlink>
      <w:r>
        <w:rPr>
          <w:rFonts w:ascii="Times New Roman" w:cs="Times New Roman" w:eastAsia="Times New Roman" w:hAnsi="Times New Roman"/>
          <w:i w:val="false"/>
          <w:iCs w:val="false"/>
          <w:sz w:val="20"/>
          <w:szCs w:val="20"/>
        </w:rPr>
        <w:t xml:space="preserve">, the ablation and the coverage sweep). P3 is P2 with an equal per-model nested search budget for every XGBoost (Section IV-B). In eICU all splits, outer and inner, including every hyperparameter search, are grouped by patient, so no patient contributes to both the data used to fit a model and the data used to evaluate it. In P2, every XGBoost model, whether single, </w:t>
        <w:t xml:space="preserve">Level</w:t>
        <w:noBreakHyphen/>
        <w:t xml:space="preserve">1</w:t>
        <w:t xml:space="preserve"> or </w:t>
        <w:t xml:space="preserve">Level</w:t>
        <w:noBreakHyphen/>
        <w:t xml:space="preserve">2</w:t>
        <w:t xml:space="preserve">, uses one fixed configuration (150 trees, depth 3, learning rate 0.05, row and column subsampling 0.8), taken from the standalone model of the original pipeline. </w:t>
        <w:t xml:space="preserve">Level</w:t>
        <w:noBreakHyphen/>
        <w:t xml:space="preserve">1</w:t>
        <w:t xml:space="preserve"> LR (C = 1), LightGBM (same values) and MLP (two hidden layers of 32 units, early stopping) are also fixed, and </w:t>
        <w:t xml:space="preserve">Level</w:t>
        <w:noBreakHyphen/>
        <w:t xml:space="preserve">1</w:t>
        <w:t xml:space="preserve"> </w:t>
        <w:t xml:space="preserve">out</w:t>
        <w:noBreakHyphen/>
        <w:t xml:space="preserve">of</w:t>
        <w:noBreakHyphen/>
        <w:t xml:space="preserve">fold</w:t>
        <w:t xml:space="preserve"> predictions come from 3-fold inner CV within each training fold. On identical </w:t>
        <w:t xml:space="preserve">Level</w:t>
        <w:noBreakHyphen/>
        <w:t xml:space="preserve">1</w:t>
        <w:t xml:space="preserve"> outputs we compare five </w:t>
        <w:t xml:space="preserve">Level</w:t>
        <w:noBreakHyphen/>
        <w:t xml:space="preserve">2</w:t>
        <w:t xml:space="preserve"> options: the default XGBoost </w:t>
        <w:t xml:space="preserve">meta</w:t>
        <w:noBreakHyphen/>
        <w:t xml:space="preserve">learner</w:t>
        <w:t xml:space="preserve"> of the original pipeline, the </w:t>
        <w:t xml:space="preserve">fixed</w:t>
        <w:noBreakHyphen/>
        <w:t xml:space="preserve">configuration</w:t>
        <w:t xml:space="preserve"> XGBoost, LR on logit-transformed probabilities, the unweighted mean of </w:t>
        <w:t xml:space="preserve">Level</w:t>
        <w:noBreakHyphen/>
        <w:t xml:space="preserve">1</w:t>
        <w:t xml:space="preserve"> outputs, and the best </w:t>
        <w:t xml:space="preserve">Level</w:t>
        <w:noBreakHyphen/>
        <w:t xml:space="preserve">1</w:t>
        <w:t xml:space="preserve"> model chosen inside the training fold. We call the </w:t>
        <w:t xml:space="preserve">fixed</w:t>
        <w:noBreakHyphen/>
        <w:t xml:space="preserve">configuration</w:t>
        <w:t xml:space="preserve"> XGBoost and LR </w:t>
        <w:t xml:space="preserve">meta</w:t>
        <w:noBreakHyphen/>
        <w:t xml:space="preserve">learners</w:t>
        <w:t xml:space="preserve"> regularized, since both constrain </w:t>
        <w:t xml:space="preserve">Level</w:t>
        <w:noBreakHyphen/>
        <w:t xml:space="preserve">2</w:t>
        <w:t xml:space="preserve"> capacity relative to the defaults. The reference is a single XGBoost on all features. We report the Area Under the Receiver Operating Characteristic Curve (AUROC), the Area Under the Precision-Recall Curve (AUPRC), ECE with 10 equal-width bins </w:t>
      </w:r>
      <w:hyperlink w:history="1" w:anchor="ref17">
        <w:r>
          <w:rPr>
            <w:rFonts w:ascii="Times New Roman" w:cs="Times New Roman" w:eastAsia="Times New Roman" w:hAnsi="Times New Roman"/>
            <w:b w:val="false"/>
            <w:bCs w:val="false"/>
            <w:i w:val="false"/>
            <w:iCs w:val="false"/>
            <w:color w:val="1155CC"/>
            <w:sz w:val="20"/>
            <w:szCs w:val="20"/>
            <w:u w:val="single"/>
          </w:rPr>
          <w:t xml:space="preserve">[17]</w:t>
        </w:r>
      </w:hyperlink>
      <w:r>
        <w:rPr>
          <w:rFonts w:ascii="Times New Roman" w:cs="Times New Roman" w:eastAsia="Times New Roman" w:hAnsi="Times New Roman"/>
          <w:i w:val="false"/>
          <w:iCs w:val="false"/>
          <w:sz w:val="20"/>
          <w:szCs w:val="20"/>
        </w:rPr>
        <w:t xml:space="preserve">, and the calibration slope and </w:t>
        <w:t xml:space="preserve">calibration</w:t>
        <w:noBreakHyphen/>
        <w:t xml:space="preserve">in</w:t>
        <w:noBreakHyphen/>
        <w:t xml:space="preserve">the</w:t>
        <w:noBreakHyphen/>
        <w:t xml:space="preserve">large</w:t>
        <w:t xml:space="preserve"> from logistic recalibration of the outcome on the logit of the prediction in each test fold. Paired differences are given with Nadeau–Bengio corrected 95% confidence intervals (CIs) </w:t>
      </w:r>
      <w:hyperlink w:history="1" w:anchor="ref18">
        <w:r>
          <w:rPr>
            <w:rFonts w:ascii="Times New Roman" w:cs="Times New Roman" w:eastAsia="Times New Roman" w:hAnsi="Times New Roman"/>
            <w:b w:val="false"/>
            <w:bCs w:val="false"/>
            <w:i w:val="false"/>
            <w:iCs w:val="false"/>
            <w:color w:val="1155CC"/>
            <w:sz w:val="20"/>
            <w:szCs w:val="20"/>
            <w:u w:val="single"/>
          </w:rPr>
          <w:t xml:space="preserve">[18]</w:t>
        </w:r>
      </w:hyperlink>
      <w:r>
        <w:rPr>
          <w:rFonts w:ascii="Times New Roman" w:cs="Times New Roman" w:eastAsia="Times New Roman" w:hAnsi="Times New Roman"/>
          <w:i w:val="false"/>
          <w:iCs w:val="false"/>
          <w:sz w:val="20"/>
          <w:szCs w:val="20"/>
        </w:rPr>
        <w:t xml:space="preserve">, which account for overlapping training sets; a difference whose CI excludes zero is called significant. CIs are not adjusted for multiple comparisons, so we rely on patterns that repeat across tasks and settings.</w:t>
      </w:r>
    </w:p>
    <w:p>
      <w:pPr>
        <w:keepNext/>
        <w:spacing w:after="50" w:before="80"/>
      </w:pPr>
      <w:r>
        <w:rPr>
          <w:rFonts w:ascii="Times New Roman" w:cs="Times New Roman" w:eastAsia="Times New Roman" w:hAnsi="Times New Roman"/>
          <w:b/>
          <w:bCs/>
          <w:i/>
          <w:iCs/>
          <w:sz w:val="20"/>
          <w:szCs w:val="20"/>
        </w:rPr>
        <w:t xml:space="preserve">D. Robustness Analyses</w:t>
      </w:r>
    </w:p>
    <w:p>
      <w:pPr>
        <w:spacing w:after="50" w:line="234"/>
        <w:jc w:val="both"/>
      </w:pPr>
      <w:r>
        <w:rPr>
          <w:rFonts w:ascii="Times New Roman" w:cs="Times New Roman" w:eastAsia="Times New Roman" w:hAnsi="Times New Roman"/>
          <w:i w:val="false"/>
          <w:iCs w:val="false"/>
          <w:sz w:val="20"/>
          <w:szCs w:val="20"/>
        </w:rPr>
        <w:t xml:space="preserve">Equal per-model search budget: in each outer training fold the single XGBoost, the </w:t>
        <w:t xml:space="preserve">Level</w:t>
        <w:noBreakHyphen/>
        <w:t xml:space="preserve">1</w:t>
        <w:t xml:space="preserve"> XGBoost (tuned on the reference subset, reused for all subsets and passed to LightGBM, as in the original pipeline) and the </w:t>
        <w:t xml:space="preserve">Level</w:t>
        <w:noBreakHyphen/>
        <w:t xml:space="preserve">2</w:t>
        <w:t xml:space="preserve"> XGBoost each received the same nested random search of 20 configurations over discrete grids (100 to 500 trees, depth 2 to 6, learning rate 0.01 to 0.1, row and column subsampling, minimum child weight, L2 penalty; 3-fold inner CV), and LR C was grid-searched on the reference subset and on the </w:t>
        <w:t xml:space="preserve">Level</w:t>
        <w:noBreakHyphen/>
        <w:t xml:space="preserve">1</w:t>
        <w:t xml:space="preserve"> outputs. This equalizes the search per XGBoost model, not the total computational budget: with several tuned models and a fixed MLP, the stack received more search in total than the single model. </w:t>
        <w:t xml:space="preserve">Level</w:t>
        <w:noBreakHyphen/>
        <w:t xml:space="preserve">1</w:t>
        <w:t xml:space="preserve"> diversity: besides the original roster we used a diverse roster that replaces LightGBM with </w:t>
        <w:t xml:space="preserve">k</w:t>
        <w:noBreakHyphen/>
        <w:t xml:space="preserve">nearest</w:t>
        <w:t xml:space="preserve"> neighbors (kNN), random forest (RF) and Gaussian naive Bayes (NB), and two rosters with CatBoost </w:t>
      </w:r>
      <w:hyperlink w:history="1" w:anchor="ref19">
        <w:r>
          <w:rPr>
            <w:rFonts w:ascii="Times New Roman" w:cs="Times New Roman" w:eastAsia="Times New Roman" w:hAnsi="Times New Roman"/>
            <w:b w:val="false"/>
            <w:bCs w:val="false"/>
            <w:i w:val="false"/>
            <w:iCs w:val="false"/>
            <w:color w:val="1155CC"/>
            <w:sz w:val="20"/>
            <w:szCs w:val="20"/>
            <w:u w:val="single"/>
          </w:rPr>
          <w:t xml:space="preserve">[19]</w:t>
        </w:r>
      </w:hyperlink>
      <w:r>
        <w:rPr>
          <w:rFonts w:ascii="Times New Roman" w:cs="Times New Roman" w:eastAsia="Times New Roman" w:hAnsi="Times New Roman"/>
          <w:i w:val="false"/>
          <w:iCs w:val="false"/>
          <w:sz w:val="20"/>
          <w:szCs w:val="20"/>
        </w:rPr>
        <w:t xml:space="preserve"> (150 iterations, depth 4, learning rate 0.05) as a fifth learner or in place of the MLP; standalone CatBoost was also scored. The tuning, roster and CatBoost analyses cover the four main tasks; the 1-day landmark uses the original roster with fixed configurations. Cohort size: the comparison was repeated on ten stratified subsamples of 729 </w:t>
        <w:t xml:space="preserve">MIMIC</w:t>
        <w:noBreakHyphen/>
        <w:t xml:space="preserve">IV</w:t>
        <w:t xml:space="preserve"> episodes, each with three repeats. Early deaths: the comparison was repeated after removing episodes with </w:t>
        <w:t xml:space="preserve">in</w:t>
        <w:noBreakHyphen/>
        <w:t xml:space="preserve">hospital</w:t>
        <w:t xml:space="preserve"> death inside the feature window (140 </w:t>
        <w:t xml:space="preserve">MIMIC</w:t>
        <w:noBreakHyphen/>
        <w:t xml:space="preserve">IV</w:t>
        <w:t xml:space="preserve"> episodes and 1,230 eICU stays). Ablation: the single XGBoost was retrained with vitals only, laboratory values only, mean aggregates only and without clipping. Coverage: the threshold was swept from 50% to 90% on unclipped matrices built without the 80% filter (eICU: with a 50% pre-filter). Software: Python 3.10 with scikit-learn 1.7.2 </w:t>
      </w:r>
      <w:hyperlink w:history="1" w:anchor="ref20">
        <w:r>
          <w:rPr>
            <w:rFonts w:ascii="Times New Roman" w:cs="Times New Roman" w:eastAsia="Times New Roman" w:hAnsi="Times New Roman"/>
            <w:b w:val="false"/>
            <w:bCs w:val="false"/>
            <w:i w:val="false"/>
            <w:iCs w:val="false"/>
            <w:color w:val="1155CC"/>
            <w:sz w:val="20"/>
            <w:szCs w:val="20"/>
            <w:u w:val="single"/>
          </w:rPr>
          <w:t xml:space="preserve">[20]</w:t>
        </w:r>
      </w:hyperlink>
      <w:r>
        <w:rPr>
          <w:rFonts w:ascii="Times New Roman" w:cs="Times New Roman" w:eastAsia="Times New Roman" w:hAnsi="Times New Roman"/>
          <w:i w:val="false"/>
          <w:iCs w:val="false"/>
          <w:sz w:val="20"/>
          <w:szCs w:val="20"/>
        </w:rPr>
        <w:t xml:space="preserve">, XGBoost 2.1.4, LightGBM 4.7.0, CatBoost 1.2.10 and SHAP 0.49.1.</w:t>
      </w:r>
    </w:p>
    <w:p>
      <w:pPr>
        <w:keepNext/>
        <w:spacing w:after="50" w:before="80"/>
      </w:pPr>
      <w:r>
        <w:rPr>
          <w:rFonts w:ascii="Times New Roman" w:cs="Times New Roman" w:eastAsia="Times New Roman" w:hAnsi="Times New Roman"/>
          <w:b/>
          <w:bCs/>
          <w:i/>
          <w:iCs/>
          <w:sz w:val="20"/>
          <w:szCs w:val="20"/>
        </w:rPr>
        <w:t xml:space="preserve">E. Explainability and Feature Selection</w:t>
      </w:r>
    </w:p>
    <w:p>
      <w:pPr>
        <w:spacing w:after="50" w:line="234"/>
        <w:jc w:val="both"/>
      </w:pPr>
      <w:r>
        <w:rPr>
          <w:rFonts w:ascii="Times New Roman" w:cs="Times New Roman" w:eastAsia="Times New Roman" w:hAnsi="Times New Roman"/>
          <w:i w:val="false"/>
          <w:iCs w:val="false"/>
          <w:sz w:val="20"/>
          <w:szCs w:val="20"/>
        </w:rPr>
        <w:t xml:space="preserve">Two SHAP </w:t>
      </w:r>
      <w:hyperlink w:history="1" w:anchor="ref9">
        <w:r>
          <w:rPr>
            <w:rFonts w:ascii="Times New Roman" w:cs="Times New Roman" w:eastAsia="Times New Roman" w:hAnsi="Times New Roman"/>
            <w:b w:val="false"/>
            <w:bCs w:val="false"/>
            <w:i w:val="false"/>
            <w:iCs w:val="false"/>
            <w:color w:val="1155CC"/>
            <w:sz w:val="20"/>
            <w:szCs w:val="20"/>
            <w:u w:val="single"/>
          </w:rPr>
          <w:t xml:space="preserve">[9]</w:t>
        </w:r>
      </w:hyperlink>
      <w:r>
        <w:rPr>
          <w:rFonts w:ascii="Times New Roman" w:cs="Times New Roman" w:eastAsia="Times New Roman" w:hAnsi="Times New Roman"/>
          <w:i w:val="false"/>
          <w:iCs w:val="false"/>
          <w:sz w:val="20"/>
          <w:szCs w:val="20"/>
        </w:rPr>
        <w:t xml:space="preserve"> analyses are kept separate. The descriptive global importance (Section IV-D) uses one </w:t>
        <w:t xml:space="preserve">fixed</w:t>
        <w:noBreakHyphen/>
        <w:t xml:space="preserve">configuration</w:t>
        <w:t xml:space="preserve"> XGBoost fitted on each full cohort, with mean |SHAP| (log-odds) over all its rows; it is not used for feature selection. Rank agreement between cohorts was measured with Spearman correlation over the 55 features present in both matrices. Stability and selection use P2 folds with two repeats (10 folds, eICU grouped by patient): in each training fold an XGBoost is fitted on the full training data, features are ranked by mean |SHAP| on 600 training rows drawn at random (fixed seed, both cohorts), and the Jaccard overlap of the top-20 sets is computed across folds. XGBoost is then retrained on the top 10, 20, 30 and 40 features of that fold and scored on the held-out fold, so the ranking never sees test data.</w:t>
      </w:r>
    </w:p>
    <w:p>
      <w:pPr>
        <w:keepNext/>
        <w:spacing w:after="60" w:before="90"/>
        <w:jc w:val="center"/>
      </w:pPr>
      <w:r>
        <w:rPr>
          <w:rFonts w:ascii="Times New Roman" w:cs="Times New Roman" w:eastAsia="Times New Roman" w:hAnsi="Times New Roman"/>
          <w:b/>
          <w:bCs/>
          <w:caps/>
          <w:sz w:val="20"/>
          <w:szCs w:val="20"/>
        </w:rPr>
        <w:t xml:space="preserve">IV. Results</w:t>
      </w:r>
    </w:p>
    <w:p>
      <w:pPr>
        <w:keepNext/>
        <w:spacing w:after="50" w:before="80"/>
      </w:pPr>
      <w:r>
        <w:rPr>
          <w:rFonts w:ascii="Times New Roman" w:cs="Times New Roman" w:eastAsia="Times New Roman" w:hAnsi="Times New Roman"/>
          <w:b/>
          <w:bCs/>
          <w:i/>
          <w:iCs/>
          <w:sz w:val="20"/>
          <w:szCs w:val="20"/>
        </w:rPr>
        <w:t xml:space="preserve">A. Replication Under the Original Protocol</w:t>
      </w:r>
    </w:p>
    <w:p>
      <w:pPr>
        <w:spacing w:after="50" w:line="234"/>
        <w:jc w:val="both"/>
      </w:pPr>
      <w:r>
        <w:rPr>
          <w:rFonts w:ascii="Times New Roman" w:cs="Times New Roman" w:eastAsia="Times New Roman" w:hAnsi="Times New Roman"/>
          <w:i w:val="false"/>
          <w:iCs w:val="false"/>
          <w:sz w:val="20"/>
          <w:szCs w:val="20"/>
        </w:rPr>
        <w:t xml:space="preserve">Under the original protocol P1 (single 5-fold CV, folds not grouped by patient), the stack reached AUROC 0.813 on </w:t>
        <w:t xml:space="preserve">MIMIC</w:t>
        <w:noBreakHyphen/>
        <w:t xml:space="preserve">IV</w:t>
        <w:t xml:space="preserve"> mortality (24 h data), against 0.85 reported in </w:t>
      </w:r>
      <w:hyperlink w:history="1" w:anchor="ref16">
        <w:r>
          <w:rPr>
            <w:rFonts w:ascii="Times New Roman" w:cs="Times New Roman" w:eastAsia="Times New Roman" w:hAnsi="Times New Roman"/>
            <w:b w:val="false"/>
            <w:bCs w:val="false"/>
            <w:i w:val="false"/>
            <w:iCs w:val="false"/>
            <w:color w:val="1155CC"/>
            <w:sz w:val="20"/>
            <w:szCs w:val="20"/>
            <w:u w:val="single"/>
          </w:rPr>
          <w:t xml:space="preserve">[16]</w:t>
        </w:r>
      </w:hyperlink>
      <w:r>
        <w:rPr>
          <w:rFonts w:ascii="Times New Roman" w:cs="Times New Roman" w:eastAsia="Times New Roman" w:hAnsi="Times New Roman"/>
          <w:i w:val="false"/>
          <w:iCs w:val="false"/>
          <w:sz w:val="20"/>
          <w:szCs w:val="20"/>
        </w:rPr>
        <w:t xml:space="preserve"> on a different, 729-episode cohort (4.3% lower), and 0.828 on eICU mortality (72 h data). The original LOS results (AUROC 0.946 and 0.918) used a 7-day feature window chosen by maximum AUROC, which overlaps the outcome period; they are replaced by the landmark tasks in Section IV-C.</w:t>
      </w:r>
    </w:p>
    <w:p>
      <w:pPr>
        <w:sectPr>
          <w:type w:val="continuous"/>
          <w:pgSz w:w="12240" w:h="15840" w:orient="portrait"/>
          <w:pgMar w:top="720" w:right="1080" w:bottom="1080" w:left="1080" w:header="708" w:footer="708" w:gutter="0"/>
          <w:pgNumType/>
          <w:cols w:space="288" w:num="2"/>
          <w:docGrid w:linePitch="360"/>
        </w:sectPr>
      </w:pPr>
    </w:p>
    <w:p>
      <w:pPr>
        <w:keepNext/>
        <w:spacing w:after="80" w:before="40"/>
        <w:jc w:val="center"/>
      </w:pPr>
      <w:bookmarkStart w:name="tableI" w:id="1002"/>
      <w:r>
        <w:rPr>
          <w:rFonts w:ascii="Times New Roman" w:cs="Times New Roman" w:eastAsia="Times New Roman" w:hAnsi="Times New Roman"/>
          <w:sz w:val="16"/>
          <w:szCs w:val="16"/>
        </w:rPr>
        <w:t xml:space="preserve">TABLE I.</w:t>
      </w:r>
      <w:bookmarkEnd w:id="1002"/>
      <w:r>
        <w:rPr>
          <w:rFonts w:ascii="Times New Roman" w:cs="Times New Roman" w:eastAsia="Times New Roman" w:hAnsi="Times New Roman"/>
          <w:sz w:val="16"/>
          <w:szCs w:val="16"/>
        </w:rPr>
        <w:t xml:space="preserve"> Controlled Comparison (Protocol P2): AUROC Difference From the Single XGBoost Model (Points, 95% Nadeau–Bengio CI) and ECE</w:t>
      </w:r>
    </w:p>
    <w:tbl>
      <w:tblPr>
        <w:tblW w:type="dxa" w:w="10080"/>
        <w:jc w:val="center"/>
        <w:tblBorders>
          <w:top w:val="single" w:color="000000" w:sz="4"/>
          <w:left w:val="none"/>
          <w:bottom w:val="single" w:color="000000" w:sz="4"/>
          <w:right w:val="none"/>
          <w:insideH w:val="single" w:color="999999" w:sz="2"/>
          <w:insideV w:val="none"/>
        </w:tblBorders>
        <w:tblLayout w:type="fixed"/>
      </w:tblPr>
      <w:tblGrid>
        <w:gridCol w:w="1700"/>
        <w:gridCol w:w="1650"/>
        <w:gridCol w:w="445"/>
        <w:gridCol w:w="1650"/>
        <w:gridCol w:w="445"/>
        <w:gridCol w:w="1650"/>
        <w:gridCol w:w="445"/>
        <w:gridCol w:w="1650"/>
        <w:gridCol w:w="445"/>
      </w:tblGrid>
      <w:tr>
        <w:trPr>
          <w:cantSplit/>
          <w:tblHeader/>
        </w:trPr>
        <w:tc>
          <w:tcPr>
            <w:tcW w:type="dxa" w:w="1700"/>
            <w:shd w:fill="D9D9D9" w:val="clear"/>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bCs/>
                <w:sz w:val="14"/>
                <w:szCs w:val="14"/>
              </w:rPr>
              <w:t xml:space="preserve">Method</w:t>
            </w:r>
          </w:p>
        </w:tc>
        <w:tc>
          <w:tcPr>
            <w:tcW w:type="dxa" w:w="2095"/>
            <w:gridSpan w:val="2"/>
            <w:shd w:fill="D9D9D9" w:val="clear"/>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bCs/>
                <w:sz w:val="14"/>
                <w:szCs w:val="14"/>
              </w:rPr>
              <w:t xml:space="preserve">MIMIC</w:t>
              <w:noBreakHyphen/>
              <w:t xml:space="preserve">IV</w:t>
              <w:t xml:space="preserve"> mortality (24 h data)</w:t>
            </w:r>
          </w:p>
        </w:tc>
        <w:tc>
          <w:tcPr>
            <w:tcW w:type="dxa" w:w="2095"/>
            <w:gridSpan w:val="2"/>
            <w:shd w:fill="D9D9D9" w:val="clear"/>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bCs/>
                <w:sz w:val="14"/>
                <w:szCs w:val="14"/>
              </w:rPr>
              <w:t xml:space="preserve">eICU mortality (72 h data)</w:t>
            </w:r>
          </w:p>
        </w:tc>
        <w:tc>
          <w:tcPr>
            <w:tcW w:type="dxa" w:w="2095"/>
            <w:gridSpan w:val="2"/>
            <w:shd w:fill="D9D9D9" w:val="clear"/>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bCs/>
                <w:sz w:val="14"/>
                <w:szCs w:val="14"/>
              </w:rPr>
              <w:t xml:space="preserve">LOS&gt;7 (</w:t>
              <w:t xml:space="preserve">day</w:t>
              <w:noBreakHyphen/>
              <w:t xml:space="preserve">2</w:t>
              <w:t xml:space="preserve"> landmark)</w:t>
            </w:r>
          </w:p>
        </w:tc>
        <w:tc>
          <w:tcPr>
            <w:tcW w:type="dxa" w:w="2095"/>
            <w:gridSpan w:val="2"/>
            <w:shd w:fill="D9D9D9" w:val="clear"/>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bCs/>
                <w:sz w:val="14"/>
                <w:szCs w:val="14"/>
              </w:rPr>
              <w:t xml:space="preserve">LOS&gt;14 (</w:t>
              <w:t xml:space="preserve">day</w:t>
              <w:noBreakHyphen/>
              <w:t xml:space="preserve">2</w:t>
              <w:t xml:space="preserve"> landmark)</w:t>
            </w:r>
          </w:p>
        </w:tc>
      </w:tr>
      <w:tr>
        <w:trPr>
          <w:cantSplit/>
          <w:tblHeader/>
        </w:trPr>
        <w:tc>
          <w:tcPr>
            <w:tcW w:type="dxa" w:w="1700"/>
            <w:shd w:fill="D9D9D9" w:val="clear"/>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bCs/>
                <w:sz w:val="14"/>
                <w:szCs w:val="14"/>
              </w:rPr>
              <w:t xml:space="preserve"/>
            </w:r>
          </w:p>
        </w:tc>
        <w:tc>
          <w:tcPr>
            <w:tcW w:type="dxa" w:w="1650"/>
            <w:shd w:fill="D9D9D9" w:val="clear"/>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bCs/>
                <w:sz w:val="14"/>
                <w:szCs w:val="14"/>
              </w:rPr>
              <w:t xml:space="preserve">ΔAUROC, points (95% CI)</w:t>
            </w:r>
          </w:p>
        </w:tc>
        <w:tc>
          <w:tcPr>
            <w:tcW w:type="dxa" w:w="445"/>
            <w:shd w:fill="D9D9D9" w:val="clear"/>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bCs/>
                <w:sz w:val="14"/>
                <w:szCs w:val="14"/>
              </w:rPr>
              <w:t xml:space="preserve">ECE</w:t>
            </w:r>
          </w:p>
        </w:tc>
        <w:tc>
          <w:tcPr>
            <w:tcW w:type="dxa" w:w="1650"/>
            <w:shd w:fill="D9D9D9" w:val="clear"/>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bCs/>
                <w:sz w:val="14"/>
                <w:szCs w:val="14"/>
              </w:rPr>
              <w:t xml:space="preserve">ΔAUROC, points (95% CI)</w:t>
            </w:r>
          </w:p>
        </w:tc>
        <w:tc>
          <w:tcPr>
            <w:tcW w:type="dxa" w:w="445"/>
            <w:shd w:fill="D9D9D9" w:val="clear"/>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bCs/>
                <w:sz w:val="14"/>
                <w:szCs w:val="14"/>
              </w:rPr>
              <w:t xml:space="preserve">ECE</w:t>
            </w:r>
          </w:p>
        </w:tc>
        <w:tc>
          <w:tcPr>
            <w:tcW w:type="dxa" w:w="1650"/>
            <w:shd w:fill="D9D9D9" w:val="clear"/>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bCs/>
                <w:sz w:val="14"/>
                <w:szCs w:val="14"/>
              </w:rPr>
              <w:t xml:space="preserve">ΔAUROC, points (95% CI)</w:t>
            </w:r>
          </w:p>
        </w:tc>
        <w:tc>
          <w:tcPr>
            <w:tcW w:type="dxa" w:w="445"/>
            <w:shd w:fill="D9D9D9" w:val="clear"/>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bCs/>
                <w:sz w:val="14"/>
                <w:szCs w:val="14"/>
              </w:rPr>
              <w:t xml:space="preserve">ECE</w:t>
            </w:r>
          </w:p>
        </w:tc>
        <w:tc>
          <w:tcPr>
            <w:tcW w:type="dxa" w:w="1650"/>
            <w:shd w:fill="D9D9D9" w:val="clear"/>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bCs/>
                <w:sz w:val="14"/>
                <w:szCs w:val="14"/>
              </w:rPr>
              <w:t xml:space="preserve">ΔAUROC, points (95% CI)</w:t>
            </w:r>
          </w:p>
        </w:tc>
        <w:tc>
          <w:tcPr>
            <w:tcW w:type="dxa" w:w="445"/>
            <w:shd w:fill="D9D9D9" w:val="clear"/>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bCs/>
                <w:sz w:val="14"/>
                <w:szCs w:val="14"/>
              </w:rPr>
              <w:t xml:space="preserve">ECE</w:t>
            </w:r>
          </w:p>
        </w:tc>
      </w:tr>
      <w:tr>
        <w:trPr>
          <w:cantSplit/>
        </w:trPr>
        <w:tc>
          <w:tcPr>
            <w:tcW w:type="dxa" w:w="1700"/>
            <w:tcMar>
              <w:top w:type="dxa" w:w="20"/>
              <w:left w:type="dxa" w:w="45"/>
              <w:bottom w:type="dxa" w:w="20"/>
              <w:right w:type="dxa" w:w="45"/>
            </w:tcMar>
            <w:vAlign w:val="center"/>
          </w:tcPr>
          <w:p>
            <w:pPr>
              <w:keepNext/>
              <w:spacing w:after="0" w:line="200" w:lineRule="auto"/>
              <w:jc w:val="left"/>
            </w:pPr>
            <w:r>
              <w:rPr>
                <w:rFonts w:ascii="Times New Roman" w:cs="Times New Roman" w:eastAsia="Times New Roman" w:hAnsi="Times New Roman"/>
                <w:b w:val="false"/>
                <w:bCs w:val="false"/>
                <w:sz w:val="14"/>
                <w:szCs w:val="14"/>
              </w:rPr>
              <w:t xml:space="preserve">Single XGBoost (AUROC)</w:t>
            </w:r>
          </w:p>
        </w:tc>
        <w:tc>
          <w:tcPr>
            <w:tcW w:type="dxa" w:w="1650"/>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0.834 (ref.)</w:t>
            </w:r>
          </w:p>
        </w:tc>
        <w:tc>
          <w:tcPr>
            <w:tcW w:type="dxa" w:w="445"/>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0.039</w:t>
            </w:r>
          </w:p>
        </w:tc>
        <w:tc>
          <w:tcPr>
            <w:tcW w:type="dxa" w:w="1650"/>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0.853 (ref.)</w:t>
            </w:r>
          </w:p>
        </w:tc>
        <w:tc>
          <w:tcPr>
            <w:tcW w:type="dxa" w:w="445"/>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0.020</w:t>
            </w:r>
          </w:p>
        </w:tc>
        <w:tc>
          <w:tcPr>
            <w:tcW w:type="dxa" w:w="1650"/>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0.782 (ref.)</w:t>
            </w:r>
          </w:p>
        </w:tc>
        <w:tc>
          <w:tcPr>
            <w:tcW w:type="dxa" w:w="445"/>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0.055</w:t>
            </w:r>
          </w:p>
        </w:tc>
        <w:tc>
          <w:tcPr>
            <w:tcW w:type="dxa" w:w="1650"/>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0.795 (ref.)</w:t>
            </w:r>
          </w:p>
        </w:tc>
        <w:tc>
          <w:tcPr>
            <w:tcW w:type="dxa" w:w="445"/>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0.036</w:t>
            </w:r>
          </w:p>
        </w:tc>
      </w:tr>
      <w:tr>
        <w:trPr>
          <w:cantSplit/>
        </w:trPr>
        <w:tc>
          <w:tcPr>
            <w:tcW w:type="dxa" w:w="1700"/>
            <w:tcMar>
              <w:top w:type="dxa" w:w="20"/>
              <w:left w:type="dxa" w:w="45"/>
              <w:bottom w:type="dxa" w:w="20"/>
              <w:right w:type="dxa" w:w="45"/>
            </w:tcMar>
            <w:vAlign w:val="center"/>
          </w:tcPr>
          <w:p>
            <w:pPr>
              <w:keepNext/>
              <w:spacing w:after="0" w:line="200" w:lineRule="auto"/>
              <w:jc w:val="left"/>
            </w:pPr>
            <w:r>
              <w:rPr>
                <w:rFonts w:ascii="Times New Roman" w:cs="Times New Roman" w:eastAsia="Times New Roman" w:hAnsi="Times New Roman"/>
                <w:b w:val="false"/>
                <w:bCs w:val="false"/>
                <w:sz w:val="14"/>
                <w:szCs w:val="14"/>
              </w:rPr>
              <w:t xml:space="preserve">Stack, default XGBoost meta*</w:t>
            </w:r>
          </w:p>
        </w:tc>
        <w:tc>
          <w:tcPr>
            <w:tcW w:type="dxa" w:w="1650"/>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−3.26 (−5.38, −1.14)</w:t>
            </w:r>
          </w:p>
        </w:tc>
        <w:tc>
          <w:tcPr>
            <w:tcW w:type="dxa" w:w="445"/>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0.120</w:t>
            </w:r>
          </w:p>
        </w:tc>
        <w:tc>
          <w:tcPr>
            <w:tcW w:type="dxa" w:w="1650"/>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−2.71 (−3.51, −1.91)</w:t>
            </w:r>
          </w:p>
        </w:tc>
        <w:tc>
          <w:tcPr>
            <w:tcW w:type="dxa" w:w="445"/>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0.066</w:t>
            </w:r>
          </w:p>
        </w:tc>
        <w:tc>
          <w:tcPr>
            <w:tcW w:type="dxa" w:w="1650"/>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−3.87 (−7.27, −0.46)</w:t>
            </w:r>
          </w:p>
        </w:tc>
        <w:tc>
          <w:tcPr>
            <w:tcW w:type="dxa" w:w="445"/>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0.175</w:t>
            </w:r>
          </w:p>
        </w:tc>
        <w:tc>
          <w:tcPr>
            <w:tcW w:type="dxa" w:w="1650"/>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−3.25 (−7.36, +0.86)</w:t>
            </w:r>
          </w:p>
        </w:tc>
        <w:tc>
          <w:tcPr>
            <w:tcW w:type="dxa" w:w="445"/>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0.092</w:t>
            </w:r>
          </w:p>
        </w:tc>
      </w:tr>
      <w:tr>
        <w:trPr>
          <w:cantSplit/>
        </w:trPr>
        <w:tc>
          <w:tcPr>
            <w:tcW w:type="dxa" w:w="1700"/>
            <w:tcMar>
              <w:top w:type="dxa" w:w="20"/>
              <w:left w:type="dxa" w:w="45"/>
              <w:bottom w:type="dxa" w:w="20"/>
              <w:right w:type="dxa" w:w="45"/>
            </w:tcMar>
            <w:vAlign w:val="center"/>
          </w:tcPr>
          <w:p>
            <w:pPr>
              <w:keepNext/>
              <w:spacing w:after="0" w:line="200" w:lineRule="auto"/>
              <w:jc w:val="left"/>
            </w:pPr>
            <w:r>
              <w:rPr>
                <w:rFonts w:ascii="Times New Roman" w:cs="Times New Roman" w:eastAsia="Times New Roman" w:hAnsi="Times New Roman"/>
                <w:b w:val="false"/>
                <w:bCs w:val="false"/>
                <w:sz w:val="14"/>
                <w:szCs w:val="14"/>
              </w:rPr>
              <w:t xml:space="preserve">Stack, fixed-config. XGBoost meta</w:t>
            </w:r>
          </w:p>
        </w:tc>
        <w:tc>
          <w:tcPr>
            <w:tcW w:type="dxa" w:w="1650"/>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−0.51 (−1.84, +0.82)</w:t>
            </w:r>
          </w:p>
        </w:tc>
        <w:tc>
          <w:tcPr>
            <w:tcW w:type="dxa" w:w="445"/>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0.037</w:t>
            </w:r>
          </w:p>
        </w:tc>
        <w:tc>
          <w:tcPr>
            <w:tcW w:type="dxa" w:w="1650"/>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−0.32 (−0.82, +0.17)</w:t>
            </w:r>
          </w:p>
        </w:tc>
        <w:tc>
          <w:tcPr>
            <w:tcW w:type="dxa" w:w="445"/>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0.017</w:t>
            </w:r>
          </w:p>
        </w:tc>
        <w:tc>
          <w:tcPr>
            <w:tcW w:type="dxa" w:w="1650"/>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−1.58 (−4.30, +1.15)</w:t>
            </w:r>
          </w:p>
        </w:tc>
        <w:tc>
          <w:tcPr>
            <w:tcW w:type="dxa" w:w="445"/>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0.064</w:t>
            </w:r>
          </w:p>
        </w:tc>
        <w:tc>
          <w:tcPr>
            <w:tcW w:type="dxa" w:w="1650"/>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−0.21 (−3.58, +3.17)</w:t>
            </w:r>
          </w:p>
        </w:tc>
        <w:tc>
          <w:tcPr>
            <w:tcW w:type="dxa" w:w="445"/>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0.041</w:t>
            </w:r>
          </w:p>
        </w:tc>
      </w:tr>
      <w:tr>
        <w:trPr>
          <w:cantSplit/>
        </w:trPr>
        <w:tc>
          <w:tcPr>
            <w:tcW w:type="dxa" w:w="1700"/>
            <w:tcMar>
              <w:top w:type="dxa" w:w="20"/>
              <w:left w:type="dxa" w:w="45"/>
              <w:bottom w:type="dxa" w:w="20"/>
              <w:right w:type="dxa" w:w="45"/>
            </w:tcMar>
            <w:vAlign w:val="center"/>
          </w:tcPr>
          <w:p>
            <w:pPr>
              <w:keepNext/>
              <w:spacing w:after="0" w:line="200" w:lineRule="auto"/>
              <w:jc w:val="left"/>
            </w:pPr>
            <w:r>
              <w:rPr>
                <w:rFonts w:ascii="Times New Roman" w:cs="Times New Roman" w:eastAsia="Times New Roman" w:hAnsi="Times New Roman"/>
                <w:b w:val="false"/>
                <w:bCs w:val="false"/>
                <w:sz w:val="14"/>
                <w:szCs w:val="14"/>
              </w:rPr>
              <w:t xml:space="preserve">Stack, LR meta</w:t>
            </w:r>
          </w:p>
        </w:tc>
        <w:tc>
          <w:tcPr>
            <w:tcW w:type="dxa" w:w="1650"/>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−0.16 (−1.22, +0.90)</w:t>
            </w:r>
          </w:p>
        </w:tc>
        <w:tc>
          <w:tcPr>
            <w:tcW w:type="dxa" w:w="445"/>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0.040</w:t>
            </w:r>
          </w:p>
        </w:tc>
        <w:tc>
          <w:tcPr>
            <w:tcW w:type="dxa" w:w="1650"/>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−0.27 (−0.67, +0.13)</w:t>
            </w:r>
          </w:p>
        </w:tc>
        <w:tc>
          <w:tcPr>
            <w:tcW w:type="dxa" w:w="445"/>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0.018</w:t>
            </w:r>
          </w:p>
        </w:tc>
        <w:tc>
          <w:tcPr>
            <w:tcW w:type="dxa" w:w="1650"/>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−0.53 (−2.76, +1.69)</w:t>
            </w:r>
          </w:p>
        </w:tc>
        <w:tc>
          <w:tcPr>
            <w:tcW w:type="dxa" w:w="445"/>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0.071</w:t>
            </w:r>
          </w:p>
        </w:tc>
        <w:tc>
          <w:tcPr>
            <w:tcW w:type="dxa" w:w="1650"/>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+0.44 (−3.08, +3.97)</w:t>
            </w:r>
          </w:p>
        </w:tc>
        <w:tc>
          <w:tcPr>
            <w:tcW w:type="dxa" w:w="445"/>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0.041</w:t>
            </w:r>
          </w:p>
        </w:tc>
      </w:tr>
      <w:tr>
        <w:trPr>
          <w:cantSplit/>
        </w:trPr>
        <w:tc>
          <w:tcPr>
            <w:tcW w:type="dxa" w:w="1700"/>
            <w:tcMar>
              <w:top w:type="dxa" w:w="20"/>
              <w:left w:type="dxa" w:w="45"/>
              <w:bottom w:type="dxa" w:w="20"/>
              <w:right w:type="dxa" w:w="45"/>
            </w:tcMar>
            <w:vAlign w:val="center"/>
          </w:tcPr>
          <w:p>
            <w:pPr>
              <w:keepNext/>
              <w:spacing w:after="0" w:line="200" w:lineRule="auto"/>
              <w:jc w:val="left"/>
            </w:pPr>
            <w:r>
              <w:rPr>
                <w:rFonts w:ascii="Times New Roman" w:cs="Times New Roman" w:eastAsia="Times New Roman" w:hAnsi="Times New Roman"/>
                <w:b w:val="false"/>
                <w:bCs w:val="false"/>
                <w:sz w:val="14"/>
                <w:szCs w:val="14"/>
              </w:rPr>
              <w:t xml:space="preserve">Mean of </w:t>
              <w:t xml:space="preserve">Level</w:t>
              <w:noBreakHyphen/>
              <w:t xml:space="preserve">1</w:t>
              <w:t xml:space="preserve"> outputs</w:t>
            </w:r>
          </w:p>
        </w:tc>
        <w:tc>
          <w:tcPr>
            <w:tcW w:type="dxa" w:w="1650"/>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+0.02 (−0.60, +0.65)</w:t>
            </w:r>
          </w:p>
        </w:tc>
        <w:tc>
          <w:tcPr>
            <w:tcW w:type="dxa" w:w="445"/>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0.081</w:t>
            </w:r>
          </w:p>
        </w:tc>
        <w:tc>
          <w:tcPr>
            <w:tcW w:type="dxa" w:w="1650"/>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−1.97 (−2.57, −1.38)</w:t>
            </w:r>
          </w:p>
        </w:tc>
        <w:tc>
          <w:tcPr>
            <w:tcW w:type="dxa" w:w="445"/>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0.104</w:t>
            </w:r>
          </w:p>
        </w:tc>
        <w:tc>
          <w:tcPr>
            <w:tcW w:type="dxa" w:w="1650"/>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−1.42 (−3.38, +0.54)</w:t>
            </w:r>
          </w:p>
        </w:tc>
        <w:tc>
          <w:tcPr>
            <w:tcW w:type="dxa" w:w="445"/>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0.092</w:t>
            </w:r>
          </w:p>
        </w:tc>
        <w:tc>
          <w:tcPr>
            <w:tcW w:type="dxa" w:w="1650"/>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−0.47 (−2.99, +2.05)</w:t>
            </w:r>
          </w:p>
        </w:tc>
        <w:tc>
          <w:tcPr>
            <w:tcW w:type="dxa" w:w="445"/>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0.063</w:t>
            </w:r>
          </w:p>
        </w:tc>
      </w:tr>
      <w:tr>
        <w:trPr>
          <w:cantSplit/>
        </w:trPr>
        <w:tc>
          <w:tcPr>
            <w:tcW w:type="dxa" w:w="1700"/>
            <w:tcMar>
              <w:top w:type="dxa" w:w="20"/>
              <w:left w:type="dxa" w:w="45"/>
              <w:bottom w:type="dxa" w:w="20"/>
              <w:right w:type="dxa" w:w="45"/>
            </w:tcMar>
            <w:vAlign w:val="center"/>
          </w:tcPr>
          <w:p>
            <w:pPr>
              <w:keepNext/>
              <w:spacing w:after="0" w:line="200" w:lineRule="auto"/>
              <w:jc w:val="left"/>
            </w:pPr>
            <w:r>
              <w:rPr>
                <w:rFonts w:ascii="Times New Roman" w:cs="Times New Roman" w:eastAsia="Times New Roman" w:hAnsi="Times New Roman"/>
                <w:b w:val="false"/>
                <w:bCs w:val="false"/>
                <w:sz w:val="14"/>
                <w:szCs w:val="14"/>
              </w:rPr>
              <w:t xml:space="preserve">Best </w:t>
              <w:t xml:space="preserve">Level</w:t>
              <w:noBreakHyphen/>
              <w:t xml:space="preserve">1</w:t>
              <w:t xml:space="preserve"> model</w:t>
            </w:r>
          </w:p>
        </w:tc>
        <w:tc>
          <w:tcPr>
            <w:tcW w:type="dxa" w:w="1650"/>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−6.20 (−8.31, −4.08)</w:t>
            </w:r>
          </w:p>
        </w:tc>
        <w:tc>
          <w:tcPr>
            <w:tcW w:type="dxa" w:w="445"/>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0.044</w:t>
            </w:r>
          </w:p>
        </w:tc>
        <w:tc>
          <w:tcPr>
            <w:tcW w:type="dxa" w:w="1650"/>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−5.96 (−6.86, −5.07)</w:t>
            </w:r>
          </w:p>
        </w:tc>
        <w:tc>
          <w:tcPr>
            <w:tcW w:type="dxa" w:w="445"/>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0.020</w:t>
            </w:r>
          </w:p>
        </w:tc>
        <w:tc>
          <w:tcPr>
            <w:tcW w:type="dxa" w:w="1650"/>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−1.57 (−4.00, +0.87)</w:t>
            </w:r>
          </w:p>
        </w:tc>
        <w:tc>
          <w:tcPr>
            <w:tcW w:type="dxa" w:w="445"/>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0.046</w:t>
            </w:r>
          </w:p>
        </w:tc>
        <w:tc>
          <w:tcPr>
            <w:tcW w:type="dxa" w:w="1650"/>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−0.50 (−4.48, +3.49)</w:t>
            </w:r>
          </w:p>
        </w:tc>
        <w:tc>
          <w:tcPr>
            <w:tcW w:type="dxa" w:w="445"/>
            <w:tcMar>
              <w:top w:type="dxa" w:w="20"/>
              <w:left w:type="dxa" w:w="45"/>
              <w:bottom w:type="dxa" w:w="20"/>
              <w:right w:type="dxa" w:w="45"/>
            </w:tcMar>
            <w:vAlign w:val="center"/>
          </w:tcPr>
          <w:p>
            <w:pPr>
              <w:keepNext/>
              <w:spacing w:after="0" w:line="200" w:lineRule="auto"/>
              <w:jc w:val="center"/>
            </w:pPr>
            <w:r>
              <w:rPr>
                <w:rFonts w:ascii="Times New Roman" w:cs="Times New Roman" w:eastAsia="Times New Roman" w:hAnsi="Times New Roman"/>
                <w:b w:val="false"/>
                <w:bCs w:val="false"/>
                <w:sz w:val="14"/>
                <w:szCs w:val="14"/>
              </w:rPr>
              <w:t xml:space="preserve">0.028</w:t>
            </w:r>
          </w:p>
        </w:tc>
      </w:tr>
    </w:tbl>
    <w:p>
      <w:pPr>
        <w:spacing w:after="120" w:before="20"/>
        <w:jc w:val="both"/>
      </w:pPr>
      <w:r>
        <w:rPr>
          <w:rFonts w:ascii="Times New Roman" w:cs="Times New Roman" w:eastAsia="Times New Roman" w:hAnsi="Times New Roman"/>
          <w:i/>
          <w:iCs/>
          <w:sz w:val="14"/>
          <w:szCs w:val="14"/>
        </w:rPr>
        <w:t xml:space="preserve">P2: 15 paired scores per method (5-fold CV repeated 3 times; eICU splits grouped by patient); one fixed XGBoost configuration for all models; original </w:t>
        <w:t xml:space="preserve">Level</w:t>
        <w:noBreakHyphen/>
        <w:t xml:space="preserve">1</w:t>
        <w:t xml:space="preserve"> roster; eICU: 12,677 stays; LOS tasks: </w:t>
        <w:t xml:space="preserve">MIMIC</w:t>
        <w:noBreakHyphen/>
        <w:t xml:space="preserve">IV</w:t>
        <w:t xml:space="preserve"> at the 2-day landmark. *Meta-learner of the original pipeline. A negative difference means the method is worse than the single XGBoost.</w:t>
      </w:r>
    </w:p>
    <w:p>
      <w:pPr>
        <w:sectPr>
          <w:type w:val="continuous"/>
          <w:pgSz w:w="12240" w:h="15840" w:orient="portrait"/>
          <w:pgMar w:top="720" w:right="1080" w:bottom="1080" w:left="1080" w:header="708" w:footer="708" w:gutter="0"/>
          <w:pgNumType/>
          <w:cols w:space="288" w:num="1"/>
          <w:docGrid w:linePitch="360"/>
        </w:sectPr>
      </w:pPr>
    </w:p>
    <w:p>
      <w:pPr>
        <w:keepNext/>
        <w:spacing w:after="50" w:before="80"/>
      </w:pPr>
      <w:r>
        <w:rPr>
          <w:rFonts w:ascii="Times New Roman" w:cs="Times New Roman" w:eastAsia="Times New Roman" w:hAnsi="Times New Roman"/>
          <w:b/>
          <w:bCs/>
          <w:i/>
          <w:iCs/>
          <w:sz w:val="20"/>
          <w:szCs w:val="20"/>
        </w:rPr>
        <w:t xml:space="preserve">B. Stacking Versus a Single Model</w:t>
      </w:r>
    </w:p>
    <w:p>
      <w:pPr>
        <w:spacing w:after="50" w:line="234"/>
        <w:jc w:val="both"/>
      </w:pPr>
      <w:hyperlink w:history="1" w:anchor="tableI">
        <w:r>
          <w:rPr>
            <w:rFonts w:ascii="Times New Roman" w:cs="Times New Roman" w:eastAsia="Times New Roman" w:hAnsi="Times New Roman"/>
            <w:b w:val="false"/>
            <w:bCs w:val="false"/>
            <w:i w:val="false"/>
            <w:iCs w:val="false"/>
            <w:color w:val="1155CC"/>
            <w:sz w:val="20"/>
            <w:szCs w:val="20"/>
            <w:u w:val="single"/>
          </w:rPr>
          <w:t xml:space="preserve">Table I</w:t>
        </w:r>
      </w:hyperlink>
      <w:r>
        <w:rPr>
          <w:rFonts w:ascii="Times New Roman" w:cs="Times New Roman" w:eastAsia="Times New Roman" w:hAnsi="Times New Roman"/>
          <w:i w:val="false"/>
          <w:iCs w:val="false"/>
          <w:sz w:val="20"/>
          <w:szCs w:val="20"/>
        </w:rPr>
        <w:t xml:space="preserve"> gives the controlled comparison. With the default </w:t>
        <w:t xml:space="preserve">meta</w:t>
        <w:noBreakHyphen/>
        <w:t xml:space="preserve">learner</w:t>
        <w:t xml:space="preserve"> the stack is 2.7 to 3.9 AUROC points below the single XGBoost model (3.2% to 4.9% relative), with CIs excluding zero on three of four tasks, and it is poorly calibrated: ECE 0.066 to 0.175 against 0.020 to 0.055, calibration slope 0.30 to 0.55 against 0.80 to 1.15, and </w:t>
        <w:t xml:space="preserve">calibration</w:t>
        <w:noBreakHyphen/>
        <w:t xml:space="preserve">in</w:t>
        <w:noBreakHyphen/>
        <w:t xml:space="preserve">the</w:t>
        <w:noBreakHyphen/>
        <w:t xml:space="preserve">large</w:t>
        <w:t xml:space="preserve"> +0.32 to +1.17, so its predictions are too extreme and, on average, too low. Replacing only the </w:t>
        <w:t xml:space="preserve">meta</w:t>
        <w:noBreakHyphen/>
        <w:t xml:space="preserve">learner</w:t>
        <w:t xml:space="preserve"> removes most of the gap: with LR the difference is −0.5 to +0.4 points and with the </w:t>
        <w:t xml:space="preserve">fixed</w:t>
        <w:noBreakHyphen/>
        <w:t xml:space="preserve">configuration</w:t>
        <w:t xml:space="preserve"> XGBoost −1.6 to −0.2 points, all CIs including zero, and ECE (0.017 to 0.071) is close to that of the single model; the mean and </w:t>
        <w:t xml:space="preserve">best</w:t>
        <w:noBreakHyphen/>
        <w:t xml:space="preserve">model</w:t>
        <w:t xml:space="preserve"> combiners do not beat it (</w:t>
      </w:r>
      <w:hyperlink w:history="1" w:anchor="tableI">
        <w:r>
          <w:rPr>
            <w:rFonts w:ascii="Times New Roman" w:cs="Times New Roman" w:eastAsia="Times New Roman" w:hAnsi="Times New Roman"/>
            <w:b w:val="false"/>
            <w:bCs w:val="false"/>
            <w:i w:val="false"/>
            <w:iCs w:val="false"/>
            <w:color w:val="1155CC"/>
            <w:sz w:val="20"/>
            <w:szCs w:val="20"/>
            <w:u w:val="single"/>
          </w:rPr>
          <w:t xml:space="preserve">Table I</w:t>
        </w:r>
      </w:hyperlink>
      <w:r>
        <w:rPr>
          <w:rFonts w:ascii="Times New Roman" w:cs="Times New Roman" w:eastAsia="Times New Roman" w:hAnsi="Times New Roman"/>
          <w:i w:val="false"/>
          <w:iCs w:val="false"/>
          <w:sz w:val="20"/>
          <w:szCs w:val="20"/>
        </w:rPr>
        <w:t xml:space="preserve">). AUPRC leads to the same conclusions (on LOS&gt;7 the </w:t>
        <w:t xml:space="preserve">fixed</w:t>
        <w:noBreakHyphen/>
        <w:t xml:space="preserve">configuration</w:t>
        <w:t xml:space="preserve"> XGBoost </w:t>
        <w:t xml:space="preserve">meta</w:t>
        <w:noBreakHyphen/>
        <w:t xml:space="preserve">learner</w:t>
        <w:t xml:space="preserve"> also loses 4.2 AUPRC points, CI excluding zero).</w:t>
      </w:r>
    </w:p>
    <w:p>
      <w:pPr>
        <w:spacing w:after="50" w:line="234"/>
        <w:jc w:val="both"/>
      </w:pPr>
      <w:r>
        <w:rPr>
          <w:rFonts w:ascii="Times New Roman" w:cs="Times New Roman" w:eastAsia="Times New Roman" w:hAnsi="Times New Roman"/>
          <w:i w:val="false"/>
          <w:iCs w:val="false"/>
          <w:sz w:val="20"/>
          <w:szCs w:val="20"/>
        </w:rPr>
        <w:t xml:space="preserve">When every XGBoost receives the same per-model search budget (P3), tuning changed the single model's AUROC by +0.2 to +1.2 points, significantly only on eICU (AUROC 0.837 on </w:t>
        <w:t xml:space="preserve">MIMIC</w:t>
        <w:noBreakHyphen/>
        <w:t xml:space="preserve">IV</w:t>
        <w:t xml:space="preserve"> and 0.856 on eICU). The tuned stacks were not significantly different on </w:t>
        <w:t xml:space="preserve">MIMIC</w:t>
        <w:noBreakHyphen/>
        <w:t xml:space="preserve">IV</w:t>
        <w:t xml:space="preserve"> (−0.02 and +0.45 points) or on either LOS task, but were 0.9 (CI −1.4 to −0.4) and 0.7 points (CI −1.1 to −0.3) lower on eICU, and the default </w:t>
        <w:t xml:space="preserve">meta</w:t>
        <w:noBreakHyphen/>
        <w:t xml:space="preserve">learner</w:t>
        <w:t xml:space="preserve"> remained 2.9 to 6.5 points lower on every task. Against the untuned single model, the tuned LR stack was +0.8 points better on </w:t>
        <w:t xml:space="preserve">MIMIC</w:t>
        <w:noBreakHyphen/>
        <w:t xml:space="preserve">IV</w:t>
        <w:t xml:space="preserve"> (CI excluding zero), but it was not significantly better than the tuned single model.</w:t>
      </w:r>
    </w:p>
    <w:p>
      <w:pPr>
        <w:spacing w:after="50" w:line="234"/>
        <w:jc w:val="both"/>
      </w:pPr>
      <w:r>
        <w:rPr>
          <w:rFonts w:ascii="Times New Roman" w:cs="Times New Roman" w:eastAsia="Times New Roman" w:hAnsi="Times New Roman"/>
          <w:i w:val="false"/>
          <w:iCs w:val="false"/>
          <w:sz w:val="20"/>
          <w:szCs w:val="20"/>
        </w:rPr>
        <w:t xml:space="preserve">Over all 22 task, roster and tuning settings, the default </w:t>
        <w:t xml:space="preserve">meta</w:t>
        <w:noBreakHyphen/>
        <w:t xml:space="preserve">learner</w:t>
        <w:t xml:space="preserve"> was significantly worse than the single model in 17 and never better (2.0 to 6.5 points lower). The two regularized or tuned </w:t>
        <w:t xml:space="preserve">meta</w:t>
        <w:noBreakHyphen/>
        <w:t xml:space="preserve">learners</w:t>
        <w:t xml:space="preserve">, each against the single model of the same protocol, were not significantly different in 39 of 44 comparisons, significantly worse in 5 and never significantly better; the losses were eICU under P3 (−0.9 and −0.7 points), LOS&gt;7 at the 1-day landmark (−2.6 and −3.2) and the diverse roster with an LR </w:t>
        <w:t xml:space="preserve">meta</w:t>
        <w:noBreakHyphen/>
        <w:t xml:space="preserve">learner</w:t>
        <w:t xml:space="preserve"> on LOS&gt;7 (−2.6). The diverse roster lowered the correlation between algorithms on the same subset (</w:t>
        <w:t xml:space="preserve">MIMIC</w:t>
        <w:noBreakHyphen/>
        <w:t xml:space="preserve">IV</w:t>
        <w:t xml:space="preserve"> 0.90 to 0.83) without making any stack better, and standalone CatBoost was not significantly different from XGBoost on any of six tasks (−0.7 to +0.6 points). At n = 729 (ten draws) the regularized stacks averaged −0.8 and −1.3 points (no draw excluding zero) and the default </w:t>
        <w:t xml:space="preserve">meta</w:t>
        <w:noBreakHyphen/>
        <w:t xml:space="preserve">learner</w:t>
        <w:t xml:space="preserve"> −3.0 (one draw excluding zero); this size is underpowered. Removing deaths inside the feature window lowered single-model AUROC to 0.800 (</w:t>
        <w:t xml:space="preserve">MIMIC</w:t>
        <w:noBreakHyphen/>
        <w:t xml:space="preserve">IV</w:t>
        <w:t xml:space="preserve">) and 0.772 (eICU) and also lowered prevalence, suggesting that early deaths are comparatively easy to predict, but the comparison was unchanged: the default </w:t>
        <w:t xml:space="preserve">meta</w:t>
        <w:noBreakHyphen/>
        <w:t xml:space="preserve">learner</w:t>
        <w:t xml:space="preserve"> remained 3.7 and 4.7 points lower, and the regularized stacks were within 0.7 points (only the </w:t>
        <w:t xml:space="preserve">fixed</w:t>
        <w:noBreakHyphen/>
        <w:t xml:space="preserve">configuration</w:t>
        <w:t xml:space="preserve"> XGBoost on eICU, −0.6, had a CI excluding zero). Excluding the 104 eICU stays without a recorded discharge status also left the comparison unchanged (single XGBoost 0.853; default </w:t>
        <w:t xml:space="preserve">meta</w:t>
        <w:noBreakHyphen/>
        <w:t xml:space="preserve">learner</w:t>
        <w:t xml:space="preserve"> −2.8 points; regularized −0.3 and −0.2, CIs including zero).</w:t>
      </w:r>
    </w:p>
    <w:p>
      <w:pPr>
        <w:keepNext/>
        <w:spacing w:after="50" w:before="80"/>
      </w:pPr>
      <w:r>
        <w:rPr>
          <w:rFonts w:ascii="Times New Roman" w:cs="Times New Roman" w:eastAsia="Times New Roman" w:hAnsi="Times New Roman"/>
          <w:b/>
          <w:bCs/>
          <w:i/>
          <w:iCs/>
          <w:sz w:val="20"/>
          <w:szCs w:val="20"/>
        </w:rPr>
        <w:t xml:space="preserve">C. Leakage-Safe Length of Stay</w:t>
      </w:r>
    </w:p>
    <w:p>
      <w:pPr>
        <w:spacing w:after="50" w:line="234"/>
        <w:jc w:val="both"/>
      </w:pPr>
      <w:r>
        <w:rPr>
          <w:rFonts w:ascii="Times New Roman" w:cs="Times New Roman" w:eastAsia="Times New Roman" w:hAnsi="Times New Roman"/>
          <w:i w:val="false"/>
          <w:iCs w:val="false"/>
          <w:sz w:val="20"/>
          <w:szCs w:val="20"/>
        </w:rPr>
        <w:t xml:space="preserve">At the 2-day landmark the single XGBoost reached AUROC 0.782 for LOS&gt;7 and 0.795 for LOS&gt;14 (AUPRC 0.598 and 0.352; prevalence 31.9% and 11.6%); the 1-day landmark gave 0.778 and 0.768. In the original five-repeat runs, the same model with the 7-day window reached 0.952 and 0.938. This gap mixes removed post-landmark information with a different population (patients still in the ICU), so it is not a pure leakage estimate; on a fixed population, however, stacked AUROC for LOS&gt;7 rose steadily from 0.763 (1-day window) to 0.946 (7-day window), as expected when the window overlaps the outcome.</w:t>
      </w:r>
    </w:p>
    <w:p>
      <w:pPr>
        <w:sectPr>
          <w:type w:val="continuous"/>
          <w:pgSz w:w="12240" w:h="15840" w:orient="portrait"/>
          <w:pgMar w:top="720" w:right="1080" w:bottom="1080" w:left="1080" w:header="708" w:footer="708" w:gutter="0"/>
          <w:pgNumType/>
          <w:cols w:space="288" w:num="2"/>
          <w:docGrid w:linePitch="360"/>
        </w:sectPr>
      </w:pPr>
    </w:p>
    <w:p>
      <w:pPr>
        <w:keepNext/>
        <w:spacing w:after="40" w:before="60"/>
        <w:jc w:val="center"/>
      </w:pPr>
      <w:r>
        <w:drawing>
          <wp:inline distT="0" distB="0" distL="0" distR="0">
            <wp:extent cx="5669280" cy="1336330"/>
            <wp:effectExtent t="0" r="0" b="0" l="0"/>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V3F4" cstate="none"/>
                    <a:srcRect/>
                    <a:stretch>
                      <a:fillRect/>
                    </a:stretch>
                  </pic:blipFill>
                  <pic:spPr bwMode="auto">
                    <a:xfrm>
                      <a:off x="0" y="0"/>
                      <a:ext cx="5669280" cy="1336330"/>
                    </a:xfrm>
                    <a:prstGeom prst="rect">
                      <a:avLst/>
                    </a:prstGeom>
                  </pic:spPr>
                </pic:pic>
              </a:graphicData>
            </a:graphic>
          </wp:inline>
        </w:drawing>
      </w:r>
    </w:p>
    <w:p>
      <w:pPr>
        <w:spacing w:after="120"/>
        <w:jc w:val="center"/>
      </w:pPr>
      <w:bookmarkStart w:name="fig2" w:id="1003"/>
      <w:r>
        <w:rPr>
          <w:rFonts w:ascii="Times New Roman" w:cs="Times New Roman" w:eastAsia="Times New Roman" w:hAnsi="Times New Roman"/>
          <w:sz w:val="16"/>
          <w:szCs w:val="16"/>
        </w:rPr>
        <w:t xml:space="preserve">Fig. 2.</w:t>
      </w:r>
      <w:bookmarkEnd w:id="1003"/>
      <w:r>
        <w:rPr>
          <w:rFonts w:ascii="Times New Roman" w:cs="Times New Roman" w:eastAsia="Times New Roman" w:hAnsi="Times New Roman"/>
          <w:sz w:val="16"/>
          <w:szCs w:val="16"/>
        </w:rPr>
        <w:t xml:space="preserve"> Top 8 features by mean |SHAP value| for the </w:t>
        <w:t xml:space="preserve">fixed</w:t>
        <w:noBreakHyphen/>
        <w:t xml:space="preserve">configuration</w:t>
        <w:t xml:space="preserve"> XGBoost fitted on each full cohort (descriptive, not used for selection): </w:t>
        <w:t xml:space="preserve">MIMIC</w:t>
        <w:noBreakHyphen/>
        <w:t xml:space="preserve">IV</w:t>
        <w:t xml:space="preserve"> mortality (24 h data, left) and eICU mortality (72 h data, right).</w:t>
      </w:r>
    </w:p>
    <w:p>
      <w:pPr>
        <w:sectPr>
          <w:type w:val="continuous"/>
          <w:pgSz w:w="12240" w:h="15840" w:orient="portrait"/>
          <w:pgMar w:top="720" w:right="1080" w:bottom="1080" w:left="1080" w:header="708" w:footer="708" w:gutter="0"/>
          <w:pgNumType/>
          <w:cols w:space="288" w:num="1"/>
          <w:docGrid w:linePitch="360"/>
        </w:sectPr>
      </w:pPr>
    </w:p>
    <w:p>
      <w:pPr>
        <w:keepNext/>
        <w:spacing w:after="50" w:before="80"/>
      </w:pPr>
      <w:r>
        <w:rPr>
          <w:rFonts w:ascii="Times New Roman" w:cs="Times New Roman" w:eastAsia="Times New Roman" w:hAnsi="Times New Roman"/>
          <w:b/>
          <w:bCs/>
          <w:i/>
          <w:iCs/>
          <w:sz w:val="20"/>
          <w:szCs w:val="20"/>
        </w:rPr>
        <w:t xml:space="preserve">D. Explainability</w:t>
      </w:r>
    </w:p>
    <w:p>
      <w:pPr>
        <w:spacing w:after="50" w:line="234"/>
        <w:jc w:val="both"/>
      </w:pPr>
      <w:hyperlink w:history="1" w:anchor="fig2">
        <w:r>
          <w:rPr>
            <w:rFonts w:ascii="Times New Roman" w:cs="Times New Roman" w:eastAsia="Times New Roman" w:hAnsi="Times New Roman"/>
            <w:b w:val="false"/>
            <w:bCs w:val="false"/>
            <w:i w:val="false"/>
            <w:iCs w:val="false"/>
            <w:color w:val="1155CC"/>
            <w:sz w:val="20"/>
            <w:szCs w:val="20"/>
            <w:u w:val="single"/>
          </w:rPr>
          <w:t xml:space="preserve">Fig. 2</w:t>
        </w:r>
      </w:hyperlink>
      <w:r>
        <w:rPr>
          <w:rFonts w:ascii="Times New Roman" w:cs="Times New Roman" w:eastAsia="Times New Roman" w:hAnsi="Times New Roman"/>
          <w:i w:val="false"/>
          <w:iCs w:val="false"/>
          <w:sz w:val="20"/>
          <w:szCs w:val="20"/>
        </w:rPr>
        <w:t xml:space="preserve"> shows global SHAP importance. On </w:t>
        <w:t xml:space="preserve">MIMIC</w:t>
        <w:noBreakHyphen/>
        <w:t xml:space="preserve">IV</w:t>
        <w:t xml:space="preserve"> the last lactate value dominates (mean |SHAP| 0.34), followed by the last Glasgow Coma Scale (GCS) verbal score and peripheral oxygen saturation (SpO₂); on eICU the last heart rate leads (0.31), followed by white-blood-cell count. Rank agreement over the 55 shared features is moderate (Spearman ρ = 0.51, 95% CI 0.28 to 0.68), and the two cohorts use different window anchors (hospital versus ICU admission). Top-20 sets are moderately stable across training folds on </w:t>
        <w:t xml:space="preserve">MIMIC</w:t>
        <w:noBreakHyphen/>
        <w:t xml:space="preserve">IV</w:t>
        <w:t xml:space="preserve"> (mean Jaccard 0.61) and more stable on eICU (0.85). With nested selection, 30 features stay within 0.2 points of the full set on both cohorts (CIs including zero); 20 features lose 0.4 points on </w:t>
        <w:t xml:space="preserve">MIMIC</w:t>
        <w:noBreakHyphen/>
        <w:t xml:space="preserve">IV</w:t>
        <w:t xml:space="preserve"> (CI including zero) and 0.3 on eICU (CI excluding zero), and 10 features lose 2.3 and 1.4 points.</w:t>
      </w:r>
    </w:p>
    <w:p>
      <w:pPr>
        <w:keepNext/>
        <w:spacing w:after="40" w:before="60"/>
        <w:jc w:val="center"/>
      </w:pPr>
      <w:r>
        <w:drawing>
          <wp:inline distT="0" distB="0" distL="0" distR="0">
            <wp:extent cx="2926080" cy="1357022"/>
            <wp:effectExtent t="0" r="0" b="0" l="0"/>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V3F3" cstate="none"/>
                    <a:srcRect/>
                    <a:stretch>
                      <a:fillRect/>
                    </a:stretch>
                  </pic:blipFill>
                  <pic:spPr bwMode="auto">
                    <a:xfrm>
                      <a:off x="0" y="0"/>
                      <a:ext cx="2926080" cy="1357022"/>
                    </a:xfrm>
                    <a:prstGeom prst="rect">
                      <a:avLst/>
                    </a:prstGeom>
                  </pic:spPr>
                </pic:pic>
              </a:graphicData>
            </a:graphic>
          </wp:inline>
        </w:drawing>
      </w:r>
    </w:p>
    <w:p>
      <w:pPr>
        <w:spacing w:after="120"/>
        <w:jc w:val="center"/>
      </w:pPr>
      <w:bookmarkStart w:name="fig3" w:id="1004"/>
      <w:r>
        <w:rPr>
          <w:rFonts w:ascii="Times New Roman" w:cs="Times New Roman" w:eastAsia="Times New Roman" w:hAnsi="Times New Roman"/>
          <w:sz w:val="16"/>
          <w:szCs w:val="16"/>
        </w:rPr>
        <w:t xml:space="preserve">Fig. 3.</w:t>
      </w:r>
      <w:bookmarkEnd w:id="1004"/>
      <w:r>
        <w:rPr>
          <w:rFonts w:ascii="Times New Roman" w:cs="Times New Roman" w:eastAsia="Times New Roman" w:hAnsi="Times New Roman"/>
          <w:sz w:val="16"/>
          <w:szCs w:val="16"/>
        </w:rPr>
        <w:t xml:space="preserve"> Per-feature coverage before filtering for the </w:t>
        <w:t xml:space="preserve">MIMIC</w:t>
        <w:noBreakHyphen/>
        <w:t xml:space="preserve">IV</w:t>
        <w:t xml:space="preserve"> 24 h and eICU 72 h feature windows; dashed lines mark 70%, 80% and 90%.</w:t>
      </w:r>
    </w:p>
    <w:p>
      <w:pPr>
        <w:keepNext/>
        <w:spacing w:after="50" w:before="80"/>
      </w:pPr>
      <w:r>
        <w:rPr>
          <w:rFonts w:ascii="Times New Roman" w:cs="Times New Roman" w:eastAsia="Times New Roman" w:hAnsi="Times New Roman"/>
          <w:b/>
          <w:bCs/>
          <w:i/>
          <w:iCs/>
          <w:sz w:val="20"/>
          <w:szCs w:val="20"/>
        </w:rPr>
        <w:t xml:space="preserve">E. Ablation, Preprocessing and Feature Coverage</w:t>
      </w:r>
    </w:p>
    <w:p>
      <w:pPr>
        <w:spacing w:after="50" w:line="234"/>
        <w:jc w:val="both"/>
      </w:pPr>
      <w:r>
        <w:rPr>
          <w:rFonts w:ascii="Times New Roman" w:cs="Times New Roman" w:eastAsia="Times New Roman" w:hAnsi="Times New Roman"/>
          <w:i w:val="false"/>
          <w:iCs w:val="false"/>
          <w:sz w:val="20"/>
          <w:szCs w:val="20"/>
        </w:rPr>
        <w:t xml:space="preserve">In the ablation (P2), keeping only vitals lowered AUROC by 3.4 and 6.1 points on the mortality tasks and by 2.9 points on LOS&gt;7 (CIs excluding zero), with a smaller, </w:t>
        <w:t xml:space="preserve">non</w:t>
        <w:noBreakHyphen/>
        <w:t xml:space="preserve">significant</w:t>
        <w:t xml:space="preserve"> loss on LOS&gt;14 (1.6 points). Keeping only laboratory values lowered AUROC on every task (4.6 to 7.2 points), and using mean aggregates alone lowered it by 0.7 to 6.0 points. Removing clipping changed AUROC by at most 0.2 points (all CIs including zero).</w:t>
      </w:r>
    </w:p>
    <w:p>
      <w:pPr>
        <w:spacing w:after="50" w:line="234"/>
        <w:jc w:val="both"/>
      </w:pPr>
      <w:hyperlink w:history="1" w:anchor="fig3">
        <w:r>
          <w:rPr>
            <w:rFonts w:ascii="Times New Roman" w:cs="Times New Roman" w:eastAsia="Times New Roman" w:hAnsi="Times New Roman"/>
            <w:b w:val="false"/>
            <w:bCs w:val="false"/>
            <w:i w:val="false"/>
            <w:iCs w:val="false"/>
            <w:color w:val="1155CC"/>
            <w:sz w:val="20"/>
            <w:szCs w:val="20"/>
            <w:u w:val="single"/>
          </w:rPr>
          <w:t xml:space="preserve">Fig. 3</w:t>
        </w:r>
      </w:hyperlink>
      <w:r>
        <w:rPr>
          <w:rFonts w:ascii="Times New Roman" w:cs="Times New Roman" w:eastAsia="Times New Roman" w:hAnsi="Times New Roman"/>
          <w:i w:val="false"/>
          <w:iCs w:val="false"/>
          <w:sz w:val="20"/>
          <w:szCs w:val="20"/>
        </w:rPr>
        <w:t xml:space="preserve"> shows feature coverage before filtering: 10 of 85 eICU features have 60% to 80% coverage and all 55 retained ones at least 90%. Lowering the eICU threshold to 70% (60 features) or 60% (65 features) raised AUROC by +0.3 and +0.6 points (CIs +0.1 to +0.4 and +0.4 to +0.9), while on </w:t>
        <w:t xml:space="preserve">MIMIC</w:t>
        <w:noBreakHyphen/>
        <w:t xml:space="preserve">IV</w:t>
        <w:t xml:space="preserve"> the 70% and 90% thresholds changed AUROC by +0.3 and −0.8 points with CIs including zero. The 80% default is adequate for </w:t>
        <w:t xml:space="preserve">MIMIC</w:t>
        <w:noBreakHyphen/>
        <w:t xml:space="preserve">IV</w:t>
        <w:t xml:space="preserve"> and slightly conservative for eICU.</w:t>
      </w:r>
    </w:p>
    <w:p>
      <w:pPr>
        <w:keepNext/>
        <w:spacing w:after="60" w:before="90"/>
        <w:jc w:val="center"/>
      </w:pPr>
      <w:r>
        <w:rPr>
          <w:rFonts w:ascii="Times New Roman" w:cs="Times New Roman" w:eastAsia="Times New Roman" w:hAnsi="Times New Roman"/>
          <w:b/>
          <w:bCs/>
          <w:caps/>
          <w:sz w:val="20"/>
          <w:szCs w:val="20"/>
        </w:rPr>
        <w:t xml:space="preserve">V. Discussion</w:t>
      </w:r>
    </w:p>
    <w:p>
      <w:pPr>
        <w:spacing w:after="50" w:line="234"/>
        <w:jc w:val="both"/>
      </w:pPr>
      <w:r>
        <w:rPr>
          <w:rFonts w:ascii="Times New Roman" w:cs="Times New Roman" w:eastAsia="Times New Roman" w:hAnsi="Times New Roman"/>
          <w:i w:val="false"/>
          <w:iCs w:val="false"/>
          <w:sz w:val="20"/>
          <w:szCs w:val="20"/>
        </w:rPr>
        <w:t xml:space="preserve">The controlled comparison does not support the first analysis's claim that stacking itself limits performance. The large, consistent loss appears with the default XGBoost </w:t>
        <w:t xml:space="preserve">meta</w:t>
        <w:noBreakHyphen/>
        <w:t xml:space="preserve">learner</w:t>
        <w:t xml:space="preserve"> (100 trees, depth 6, learning rate 0.3), whose inputs are strongly correlated; its calibration slope well below one indicates over-confident predictions, consistent with overfitting at </w:t>
        <w:t xml:space="preserve">Level</w:t>
        <w:noBreakHyphen/>
        <w:t xml:space="preserve">2</w:t>
        <w:t xml:space="preserve">. With LR or the </w:t>
        <w:t xml:space="preserve">fixed</w:t>
        <w:noBreakHyphen/>
        <w:t xml:space="preserve">configuration</w:t>
        <w:t xml:space="preserve"> XGBoost the stack is not significantly different from the single model in most settings, but it was never significantly better, even with less correlated base learners, a matched per-model tuning budget or CatBoost. The original pipeline also tuned its </w:t>
        <w:t xml:space="preserve">Level</w:t>
        <w:noBreakHyphen/>
        <w:t xml:space="preserve">1</w:t>
        <w:t xml:space="preserve"> models, which we did not re-run with other </w:t>
        <w:t xml:space="preserve">meta</w:t>
        <w:noBreakHyphen/>
        <w:t xml:space="preserve">learners</w:t>
        <w:t xml:space="preserve">, so our attribution applies to the controlled re-implementation.</w:t>
      </w:r>
    </w:p>
    <w:p>
      <w:pPr>
        <w:spacing w:after="50" w:line="234"/>
        <w:jc w:val="both"/>
      </w:pPr>
      <w:r>
        <w:rPr>
          <w:rFonts w:ascii="Times New Roman" w:cs="Times New Roman" w:eastAsia="Times New Roman" w:hAnsi="Times New Roman"/>
          <w:i w:val="false"/>
          <w:iCs w:val="false"/>
          <w:sz w:val="20"/>
          <w:szCs w:val="20"/>
        </w:rPr>
        <w:t xml:space="preserve">In these cohorts a single </w:t>
        <w:t xml:space="preserve">well</w:t>
        <w:noBreakHyphen/>
        <w:t xml:space="preserve">configured</w:t>
        <w:t xml:space="preserve"> </w:t>
        <w:t xml:space="preserve">gradient</w:t>
        <w:noBreakHyphen/>
        <w:t xml:space="preserve">boosted</w:t>
        <w:t xml:space="preserve"> model was an adequate, simpler choice; other cohorts, feature sets and stacking designs need external testing. A stacked alternative should report its </w:t>
        <w:t xml:space="preserve">meta</w:t>
        <w:noBreakHyphen/>
        <w:t xml:space="preserve">learner</w:t>
        <w:t xml:space="preserve">, regularize or tune it with the same per-model budget as the baseline, and be compared on the same folds with calibration.</w:t>
      </w:r>
    </w:p>
    <w:p>
      <w:pPr>
        <w:keepNext/>
        <w:spacing w:after="60" w:before="90"/>
        <w:jc w:val="center"/>
      </w:pPr>
      <w:r>
        <w:rPr>
          <w:rFonts w:ascii="Times New Roman" w:cs="Times New Roman" w:eastAsia="Times New Roman" w:hAnsi="Times New Roman"/>
          <w:b/>
          <w:bCs/>
          <w:caps/>
          <w:sz w:val="20"/>
          <w:szCs w:val="20"/>
        </w:rPr>
        <w:t xml:space="preserve">VI. Limitations</w:t>
      </w:r>
    </w:p>
    <w:p>
      <w:pPr>
        <w:spacing w:after="50" w:line="234"/>
        <w:jc w:val="both"/>
      </w:pPr>
      <w:r>
        <w:rPr>
          <w:rFonts w:ascii="Times New Roman" w:cs="Times New Roman" w:eastAsia="Times New Roman" w:hAnsi="Times New Roman"/>
          <w:i w:val="false"/>
          <w:iCs w:val="false"/>
          <w:sz w:val="20"/>
          <w:szCs w:val="20"/>
        </w:rPr>
        <w:t xml:space="preserve">Sepsis was identified from ICD codes, as in </w:t>
      </w:r>
      <w:hyperlink w:history="1" w:anchor="ref16">
        <w:r>
          <w:rPr>
            <w:rFonts w:ascii="Times New Roman" w:cs="Times New Roman" w:eastAsia="Times New Roman" w:hAnsi="Times New Roman"/>
            <w:b w:val="false"/>
            <w:bCs w:val="false"/>
            <w:i w:val="false"/>
            <w:iCs w:val="false"/>
            <w:color w:val="1155CC"/>
            <w:sz w:val="20"/>
            <w:szCs w:val="20"/>
            <w:u w:val="single"/>
          </w:rPr>
          <w:t xml:space="preserve">[16]</w:t>
        </w:r>
      </w:hyperlink>
      <w:r>
        <w:rPr>
          <w:rFonts w:ascii="Times New Roman" w:cs="Times New Roman" w:eastAsia="Times New Roman" w:hAnsi="Times New Roman"/>
          <w:i w:val="false"/>
          <w:iCs w:val="false"/>
          <w:sz w:val="20"/>
          <w:szCs w:val="20"/>
        </w:rPr>
        <w:t xml:space="preserve">, rather than by Sepsis-3 criteria </w:t>
      </w:r>
      <w:hyperlink w:history="1" w:anchor="ref1">
        <w:r>
          <w:rPr>
            <w:rFonts w:ascii="Times New Roman" w:cs="Times New Roman" w:eastAsia="Times New Roman" w:hAnsi="Times New Roman"/>
            <w:b w:val="false"/>
            <w:bCs w:val="false"/>
            <w:i w:val="false"/>
            <w:iCs w:val="false"/>
            <w:color w:val="1155CC"/>
            <w:sz w:val="20"/>
            <w:szCs w:val="20"/>
            <w:u w:val="single"/>
          </w:rPr>
          <w:t xml:space="preserve">[1]</w:t>
        </w:r>
      </w:hyperlink>
      <w:r>
        <w:rPr>
          <w:rFonts w:ascii="Times New Roman" w:cs="Times New Roman" w:eastAsia="Times New Roman" w:hAnsi="Times New Roman"/>
          <w:i w:val="false"/>
          <w:iCs w:val="false"/>
          <w:sz w:val="20"/>
          <w:szCs w:val="20"/>
        </w:rPr>
        <w:t xml:space="preserve">, and the data did not pass through the original EHR-QC pipeline with the Observational Medical Outcomes Partnership Common Data Model (OMOP-CDM), which may explain the gaps in Section IV-A, consistent with the limited transportability of clinical prediction models </w:t>
      </w:r>
      <w:hyperlink w:history="1" w:anchor="ref21">
        <w:r>
          <w:rPr>
            <w:rFonts w:ascii="Times New Roman" w:cs="Times New Roman" w:eastAsia="Times New Roman" w:hAnsi="Times New Roman"/>
            <w:b w:val="false"/>
            <w:bCs w:val="false"/>
            <w:i w:val="false"/>
            <w:iCs w:val="false"/>
            <w:color w:val="1155CC"/>
            <w:sz w:val="20"/>
            <w:szCs w:val="20"/>
            <w:u w:val="single"/>
          </w:rPr>
          <w:t xml:space="preserve">[21]</w:t>
        </w:r>
      </w:hyperlink>
      <w:r>
        <w:rPr>
          <w:rFonts w:ascii="Times New Roman" w:cs="Times New Roman" w:eastAsia="Times New Roman" w:hAnsi="Times New Roman"/>
          <w:i w:val="false"/>
          <w:iCs w:val="false"/>
          <w:sz w:val="20"/>
          <w:szCs w:val="20"/>
        </w:rPr>
        <w:t xml:space="preserve">, </w:t>
      </w:r>
      <w:hyperlink w:history="1" w:anchor="ref22">
        <w:r>
          <w:rPr>
            <w:rFonts w:ascii="Times New Roman" w:cs="Times New Roman" w:eastAsia="Times New Roman" w:hAnsi="Times New Roman"/>
            <w:b w:val="false"/>
            <w:bCs w:val="false"/>
            <w:i w:val="false"/>
            <w:iCs w:val="false"/>
            <w:color w:val="1155CC"/>
            <w:sz w:val="20"/>
            <w:szCs w:val="20"/>
            <w:u w:val="single"/>
          </w:rPr>
          <w:t xml:space="preserve">[22]</w:t>
        </w:r>
      </w:hyperlink>
      <w:r>
        <w:rPr>
          <w:rFonts w:ascii="Times New Roman" w:cs="Times New Roman" w:eastAsia="Times New Roman" w:hAnsi="Times New Roman"/>
          <w:i w:val="false"/>
          <w:iCs w:val="false"/>
          <w:sz w:val="20"/>
          <w:szCs w:val="20"/>
        </w:rPr>
        <w:t xml:space="preserve">. The controlled comparison used fixed </w:t>
        <w:t xml:space="preserve">Level</w:t>
        <w:noBreakHyphen/>
        <w:t xml:space="preserve">1</w:t>
        <w:t xml:space="preserve"> configurations except in the P3 analysis; clipping thresholds and coverage filters were computed on the full matrix (neither uses the outcome, and removing clipping did not change AUROC). The cohort-size analysis and LOS tasks used </w:t>
        <w:t xml:space="preserve">MIMIC</w:t>
        <w:noBreakHyphen/>
        <w:t xml:space="preserve">IV</w:t>
        <w:t xml:space="preserve"> only, and all results are retrospective and internal.</w:t>
      </w:r>
    </w:p>
    <w:p>
      <w:pPr>
        <w:keepNext/>
        <w:spacing w:after="60" w:before="90"/>
        <w:jc w:val="center"/>
      </w:pPr>
      <w:r>
        <w:rPr>
          <w:rFonts w:ascii="Times New Roman" w:cs="Times New Roman" w:eastAsia="Times New Roman" w:hAnsi="Times New Roman"/>
          <w:b/>
          <w:bCs/>
          <w:caps/>
          <w:sz w:val="20"/>
          <w:szCs w:val="20"/>
        </w:rPr>
        <w:t xml:space="preserve">VII. Conclusion</w:t>
      </w:r>
    </w:p>
    <w:p>
      <w:pPr>
        <w:spacing w:after="50" w:line="234"/>
        <w:jc w:val="both"/>
      </w:pPr>
      <w:r>
        <w:rPr>
          <w:rFonts w:ascii="Times New Roman" w:cs="Times New Roman" w:eastAsia="Times New Roman" w:hAnsi="Times New Roman"/>
          <w:i w:val="false"/>
          <w:iCs w:val="false"/>
          <w:sz w:val="20"/>
          <w:szCs w:val="20"/>
        </w:rPr>
        <w:t xml:space="preserve">This study replicated the </w:t>
        <w:t xml:space="preserve">EHR</w:t>
        <w:noBreakHyphen/>
        <w:t xml:space="preserve">ML</w:t>
        <w:t xml:space="preserve"> stacked ensemble for sepsis mortality and </w:t>
        <w:t xml:space="preserve">length</w:t>
        <w:noBreakHyphen/>
        <w:t xml:space="preserve">of</w:t>
        <w:noBreakHyphen/>
        <w:t xml:space="preserve">stay</w:t>
        <w:t xml:space="preserve"> prediction on </w:t>
        <w:t xml:space="preserve">MIMIC</w:t>
        <w:noBreakHyphen/>
        <w:t xml:space="preserve">IV</w:t>
        <w:t xml:space="preserve"> and eICU and re-tested it on identical folds with corrected confidence intervals. In a controlled re-implementation, the 2.7 to 3.9 point AUROC loss and the poor calibration of the stack were produced by its default XGBoost </w:t>
        <w:t xml:space="preserve">meta</w:t>
        <w:noBreakHyphen/>
        <w:t xml:space="preserve">learner</w:t>
        <w:t xml:space="preserve">; with a regularized or per-model-tuned </w:t>
        <w:t xml:space="preserve">meta</w:t>
        <w:noBreakHyphen/>
        <w:t xml:space="preserve">learner</w:t>
        <w:t xml:space="preserve"> the stack was not significantly different from a comparably configured single XGBoost model in most settings and was never significantly better. Future work will validate these results through the EHR-QC/OMOP-CDM pipeline and on external, multi-institutional data.</w:t>
      </w:r>
    </w:p>
    <w:p>
      <w:pPr>
        <w:keepNext/>
        <w:spacing w:after="60" w:before="90"/>
        <w:jc w:val="center"/>
      </w:pPr>
      <w:r>
        <w:rPr>
          <w:rFonts w:ascii="Times New Roman" w:cs="Times New Roman" w:eastAsia="Times New Roman" w:hAnsi="Times New Roman"/>
          <w:b/>
          <w:bCs/>
          <w:caps/>
          <w:sz w:val="20"/>
          <w:szCs w:val="20"/>
        </w:rPr>
        <w:t xml:space="preserve">References</w:t>
      </w:r>
    </w:p>
    <w:p>
      <w:pPr>
        <w:spacing w:after="30" w:line="228"/>
        <w:ind w:left="240" w:hanging="240"/>
        <w:jc w:val="both"/>
      </w:pPr>
      <w:bookmarkStart w:name="ref1" w:id="1005"/>
      <w:r>
        <w:rPr>
          <w:rFonts w:ascii="Times New Roman" w:cs="Times New Roman" w:eastAsia="Times New Roman" w:hAnsi="Times New Roman"/>
          <w:sz w:val="16"/>
          <w:szCs w:val="18"/>
        </w:rPr>
        <w:t xml:space="preserve">[1]</w:t>
      </w:r>
      <w:bookmarkEnd w:id="1005"/>
      <w:hyperlink r:id="rIdRefLink1" w:history="1">
        <w:r>
          <w:rPr>
            <w:rFonts w:ascii="Times New Roman" w:cs="Times New Roman" w:eastAsia="Times New Roman" w:hAnsi="Times New Roman"/>
            <w:sz w:val="16"/>
            <w:szCs w:val="18"/>
          </w:rPr>
          <w:t xml:space="preserve"> M. Singer et al., "The Third International Consensus Definitions for Sepsis and Septic Shock (Sepsis-3)," JAMA, vol. 315, no. 8, pp. 801–810, 2016.</w:t>
        </w:r>
      </w:hyperlink>
    </w:p>
    <w:p>
      <w:pPr>
        <w:spacing w:after="30" w:line="228"/>
        <w:ind w:left="240" w:hanging="240"/>
        <w:jc w:val="both"/>
      </w:pPr>
      <w:bookmarkStart w:name="ref2" w:id="1006"/>
      <w:r>
        <w:rPr>
          <w:rFonts w:ascii="Times New Roman" w:cs="Times New Roman" w:eastAsia="Times New Roman" w:hAnsi="Times New Roman"/>
          <w:sz w:val="16"/>
          <w:szCs w:val="18"/>
        </w:rPr>
        <w:t xml:space="preserve">[2]</w:t>
      </w:r>
      <w:bookmarkEnd w:id="1006"/>
      <w:hyperlink r:id="rIdRefLink2" w:history="1">
        <w:r>
          <w:rPr>
            <w:rFonts w:ascii="Times New Roman" w:cs="Times New Roman" w:eastAsia="Times New Roman" w:hAnsi="Times New Roman"/>
            <w:sz w:val="16"/>
            <w:szCs w:val="18"/>
          </w:rPr>
          <w:t xml:space="preserve"> J.-R. Le Gall, S. Lemeshow, and F. Saulnier, "A new Simplified Acute Physiology Score (SAPS II) based on a European/North American multicenter study," JAMA, vol. 270, no. 24, pp. 2957–2963, 1993.</w:t>
        </w:r>
      </w:hyperlink>
    </w:p>
    <w:p>
      <w:pPr>
        <w:spacing w:after="30" w:line="228"/>
        <w:ind w:left="240" w:hanging="240"/>
        <w:jc w:val="both"/>
      </w:pPr>
      <w:bookmarkStart w:name="ref3" w:id="1007"/>
      <w:r>
        <w:rPr>
          <w:rFonts w:ascii="Times New Roman" w:cs="Times New Roman" w:eastAsia="Times New Roman" w:hAnsi="Times New Roman"/>
          <w:sz w:val="16"/>
          <w:szCs w:val="18"/>
        </w:rPr>
        <w:t xml:space="preserve">[3]</w:t>
      </w:r>
      <w:bookmarkEnd w:id="1007"/>
      <w:hyperlink r:id="rIdRefLink3" w:history="1">
        <w:r>
          <w:rPr>
            <w:rFonts w:ascii="Times New Roman" w:cs="Times New Roman" w:eastAsia="Times New Roman" w:hAnsi="Times New Roman"/>
            <w:sz w:val="16"/>
            <w:szCs w:val="18"/>
          </w:rPr>
          <w:t xml:space="preserve"> A. E. W. Johnson et al., "</w:t>
          <w:t xml:space="preserve">MIMIC</w:t>
          <w:noBreakHyphen/>
          <w:t xml:space="preserve">IV</w:t>
          <w:t xml:space="preserve">, a freely accessible electronic health record dataset," Scientific Data, vol. 10, no. 1, art. 1, 2023.</w:t>
        </w:r>
      </w:hyperlink>
    </w:p>
    <w:p>
      <w:pPr>
        <w:spacing w:after="30" w:line="228"/>
        <w:ind w:left="240" w:hanging="240"/>
        <w:jc w:val="both"/>
      </w:pPr>
      <w:bookmarkStart w:name="ref4" w:id="1008"/>
      <w:r>
        <w:rPr>
          <w:rFonts w:ascii="Times New Roman" w:cs="Times New Roman" w:eastAsia="Times New Roman" w:hAnsi="Times New Roman"/>
          <w:sz w:val="16"/>
          <w:szCs w:val="18"/>
        </w:rPr>
        <w:t xml:space="preserve">[4]</w:t>
      </w:r>
      <w:bookmarkEnd w:id="1008"/>
      <w:hyperlink r:id="rIdRefLink4" w:history="1">
        <w:r>
          <w:rPr>
            <w:rFonts w:ascii="Times New Roman" w:cs="Times New Roman" w:eastAsia="Times New Roman" w:hAnsi="Times New Roman"/>
            <w:sz w:val="16"/>
            <w:szCs w:val="18"/>
          </w:rPr>
          <w:t xml:space="preserve"> T. J. Pollard et al., "The eICU Collaborative Research Database, a freely available multi-center database for critical care research," Scientific Data, vol. 5, art. 180178, 2018.</w:t>
        </w:r>
      </w:hyperlink>
    </w:p>
    <w:p>
      <w:pPr>
        <w:spacing w:after="30" w:line="228"/>
        <w:ind w:left="240" w:hanging="240"/>
        <w:jc w:val="both"/>
      </w:pPr>
      <w:bookmarkStart w:name="ref5" w:id="1009"/>
      <w:r>
        <w:rPr>
          <w:rFonts w:ascii="Times New Roman" w:cs="Times New Roman" w:eastAsia="Times New Roman" w:hAnsi="Times New Roman"/>
          <w:sz w:val="16"/>
          <w:szCs w:val="18"/>
        </w:rPr>
        <w:t xml:space="preserve">[5]</w:t>
      </w:r>
      <w:bookmarkEnd w:id="1009"/>
      <w:hyperlink r:id="rIdRefLink5" w:history="1">
        <w:r>
          <w:rPr>
            <w:rFonts w:ascii="Times New Roman" w:cs="Times New Roman" w:eastAsia="Times New Roman" w:hAnsi="Times New Roman"/>
            <w:sz w:val="16"/>
            <w:szCs w:val="18"/>
          </w:rPr>
          <w:t xml:space="preserve"> T. Chen and C. Guestrin, "XGBoost: A scalable tree boosting system," in Proc. 22nd ACM SIGKDD Int. Conf. Knowledge Discovery and Data Mining, San Francisco, CA, USA, 2016, pp. 785–794.</w:t>
        </w:r>
      </w:hyperlink>
    </w:p>
    <w:p>
      <w:pPr>
        <w:spacing w:after="30" w:line="228"/>
        <w:ind w:left="240" w:hanging="240"/>
        <w:jc w:val="both"/>
      </w:pPr>
      <w:bookmarkStart w:name="ref6" w:id="1010"/>
      <w:r>
        <w:rPr>
          <w:rFonts w:ascii="Times New Roman" w:cs="Times New Roman" w:eastAsia="Times New Roman" w:hAnsi="Times New Roman"/>
          <w:sz w:val="16"/>
          <w:szCs w:val="18"/>
        </w:rPr>
        <w:t xml:space="preserve">[6]</w:t>
      </w:r>
      <w:bookmarkEnd w:id="1010"/>
      <w:hyperlink r:id="rIdRefLink6" w:history="1">
        <w:r>
          <w:rPr>
            <w:rFonts w:ascii="Times New Roman" w:cs="Times New Roman" w:eastAsia="Times New Roman" w:hAnsi="Times New Roman"/>
            <w:sz w:val="16"/>
            <w:szCs w:val="18"/>
          </w:rPr>
          <w:t xml:space="preserve"> S. Chen, J. Fan, E. Pishgar, K. Alaei, G. Placencia, and M. Pishgar, "Machine learning-based prediction of ICU mortality in sepsis-associated acute kidney injury patients using </w:t>
          <w:t xml:space="preserve">MIMIC</w:t>
          <w:noBreakHyphen/>
          <w:t xml:space="preserve">IV</w:t>
          <w:t xml:space="preserve"> database with validation from eICU database," arXiv:2502.17978, 2025.</w:t>
        </w:r>
      </w:hyperlink>
    </w:p>
    <w:p>
      <w:pPr>
        <w:spacing w:after="30" w:line="228"/>
        <w:ind w:left="240" w:hanging="240"/>
        <w:jc w:val="both"/>
      </w:pPr>
      <w:bookmarkStart w:name="ref7" w:id="1011"/>
      <w:r>
        <w:rPr>
          <w:rFonts w:ascii="Times New Roman" w:cs="Times New Roman" w:eastAsia="Times New Roman" w:hAnsi="Times New Roman"/>
          <w:sz w:val="16"/>
          <w:szCs w:val="18"/>
        </w:rPr>
        <w:t xml:space="preserve">[7]</w:t>
      </w:r>
      <w:bookmarkEnd w:id="1011"/>
      <w:hyperlink r:id="rIdRefLink7" w:history="1">
        <w:r>
          <w:rPr>
            <w:rFonts w:ascii="Times New Roman" w:cs="Times New Roman" w:eastAsia="Times New Roman" w:hAnsi="Times New Roman"/>
            <w:sz w:val="16"/>
            <w:szCs w:val="18"/>
          </w:rPr>
          <w:t xml:space="preserve"> D. H. Wolpert, "Stacked generalization," Neural Networks, vol. 5, no. 2, pp. 241–259, 1992.</w:t>
        </w:r>
      </w:hyperlink>
    </w:p>
    <w:p>
      <w:pPr>
        <w:spacing w:after="30" w:line="228"/>
        <w:ind w:left="240" w:hanging="240"/>
        <w:jc w:val="both"/>
      </w:pPr>
      <w:bookmarkStart w:name="ref8" w:id="1012"/>
      <w:r>
        <w:rPr>
          <w:rFonts w:ascii="Times New Roman" w:cs="Times New Roman" w:eastAsia="Times New Roman" w:hAnsi="Times New Roman"/>
          <w:sz w:val="16"/>
          <w:szCs w:val="18"/>
        </w:rPr>
        <w:t xml:space="preserve">[8]</w:t>
      </w:r>
      <w:bookmarkEnd w:id="1012"/>
      <w:hyperlink r:id="rIdRefLink8" w:history="1">
        <w:r>
          <w:rPr>
            <w:rFonts w:ascii="Times New Roman" w:cs="Times New Roman" w:eastAsia="Times New Roman" w:hAnsi="Times New Roman"/>
            <w:sz w:val="16"/>
            <w:szCs w:val="18"/>
          </w:rPr>
          <w:t xml:space="preserve"> X. Liu, H. Niu, and J. Peng, "Improving predictions: Enhancing </w:t>
          <w:t xml:space="preserve">in</w:t>
          <w:noBreakHyphen/>
          <w:t xml:space="preserve">hospital</w:t>
          <w:t xml:space="preserve"> mortality forecast for ICU patients with sepsis-induced coagulopathy using a stacking ensemble model," Medicine, vol. 103, no. 14, art. e37634, 2024.</w:t>
        </w:r>
      </w:hyperlink>
    </w:p>
    <w:p>
      <w:pPr>
        <w:spacing w:after="30" w:line="228"/>
        <w:ind w:left="240" w:hanging="240"/>
        <w:jc w:val="both"/>
      </w:pPr>
      <w:bookmarkStart w:name="ref9" w:id="1013"/>
      <w:r>
        <w:rPr>
          <w:rFonts w:ascii="Times New Roman" w:cs="Times New Roman" w:eastAsia="Times New Roman" w:hAnsi="Times New Roman"/>
          <w:sz w:val="16"/>
          <w:szCs w:val="18"/>
        </w:rPr>
        <w:t xml:space="preserve">[9]</w:t>
      </w:r>
      <w:bookmarkEnd w:id="1013"/>
      <w:hyperlink r:id="rIdRefLink9" w:history="1">
        <w:r>
          <w:rPr>
            <w:rFonts w:ascii="Times New Roman" w:cs="Times New Roman" w:eastAsia="Times New Roman" w:hAnsi="Times New Roman"/>
            <w:sz w:val="16"/>
            <w:szCs w:val="18"/>
          </w:rPr>
          <w:t xml:space="preserve"> S. M. Lundberg and S.-I. Lee, "A unified approach to interpreting model predictions," in Advances in Neural Information Processing Systems 30 (NeurIPS), 2017, pp. 4765–4774.</w:t>
        </w:r>
      </w:hyperlink>
    </w:p>
    <w:p>
      <w:pPr>
        <w:spacing w:after="30" w:line="228"/>
        <w:ind w:left="240" w:hanging="240"/>
        <w:jc w:val="both"/>
      </w:pPr>
      <w:bookmarkStart w:name="ref10" w:id="1014"/>
      <w:r>
        <w:rPr>
          <w:rFonts w:ascii="Times New Roman" w:cs="Times New Roman" w:eastAsia="Times New Roman" w:hAnsi="Times New Roman"/>
          <w:sz w:val="16"/>
          <w:szCs w:val="18"/>
        </w:rPr>
        <w:t xml:space="preserve">[10]</w:t>
      </w:r>
      <w:bookmarkEnd w:id="1014"/>
      <w:hyperlink r:id="rIdRefLink10" w:history="1">
        <w:r>
          <w:rPr>
            <w:rFonts w:ascii="Times New Roman" w:cs="Times New Roman" w:eastAsia="Times New Roman" w:hAnsi="Times New Roman"/>
            <w:sz w:val="16"/>
            <w:szCs w:val="18"/>
          </w:rPr>
          <w:t xml:space="preserve"> S. Zhou et al., "Interpretable machine learning model for early prediction of 28-day mortality in ICU patients with sepsis-induced coagulopathy: development and validation," Eur. J. Med. Res., vol. 29, no. 1, art. 14, 2024.</w:t>
        </w:r>
      </w:hyperlink>
    </w:p>
    <w:p>
      <w:pPr>
        <w:spacing w:after="30" w:line="228"/>
        <w:ind w:left="240" w:hanging="240"/>
        <w:jc w:val="both"/>
      </w:pPr>
      <w:bookmarkStart w:name="ref11" w:id="1015"/>
      <w:r>
        <w:rPr>
          <w:rFonts w:ascii="Times New Roman" w:cs="Times New Roman" w:eastAsia="Times New Roman" w:hAnsi="Times New Roman"/>
          <w:sz w:val="16"/>
          <w:szCs w:val="18"/>
        </w:rPr>
        <w:t xml:space="preserve">[11]</w:t>
      </w:r>
      <w:bookmarkEnd w:id="1015"/>
      <w:hyperlink r:id="rIdRefLink11" w:history="1">
        <w:r>
          <w:rPr>
            <w:rFonts w:ascii="Times New Roman" w:cs="Times New Roman" w:eastAsia="Times New Roman" w:hAnsi="Times New Roman"/>
            <w:sz w:val="16"/>
            <w:szCs w:val="18"/>
          </w:rPr>
          <w:t xml:space="preserve"> G. Ke, Q. Meng, T. Finley, T. Wang, W. Chen, W. Ma, Q. Ye, and T.-Y. Liu, "LightGBM: A highly efficient gradient boosting decision tree," in Advances in Neural Information Processing Systems 30 (NeurIPS), 2017, pp. 3146–3154.</w:t>
        </w:r>
      </w:hyperlink>
    </w:p>
    <w:p>
      <w:pPr>
        <w:spacing w:after="30" w:line="228"/>
        <w:ind w:left="240" w:hanging="240"/>
        <w:jc w:val="both"/>
      </w:pPr>
      <w:bookmarkStart w:name="ref12" w:id="1016"/>
      <w:r>
        <w:rPr>
          <w:rFonts w:ascii="Times New Roman" w:cs="Times New Roman" w:eastAsia="Times New Roman" w:hAnsi="Times New Roman"/>
          <w:sz w:val="16"/>
          <w:szCs w:val="18"/>
        </w:rPr>
        <w:t xml:space="preserve">[12]</w:t>
      </w:r>
      <w:bookmarkEnd w:id="1016"/>
      <w:hyperlink r:id="rIdRefLink12" w:history="1">
        <w:r>
          <w:rPr>
            <w:rFonts w:ascii="Times New Roman" w:cs="Times New Roman" w:eastAsia="Times New Roman" w:hAnsi="Times New Roman"/>
            <w:sz w:val="16"/>
            <w:szCs w:val="18"/>
          </w:rPr>
          <w:t xml:space="preserve"> Y. Wang, Z. Gao, Y. Zhang, Z. Lu, and F. Sun, "Early sepsis mortality prediction model based on interpretable machine learning approach: development and validation study," Intern. Emerg. Med., vol. 20, no. 3, pp. 909–918, 2025.</w:t>
        </w:r>
      </w:hyperlink>
    </w:p>
    <w:p>
      <w:pPr>
        <w:spacing w:after="30" w:line="228"/>
        <w:ind w:left="240" w:hanging="240"/>
        <w:jc w:val="both"/>
      </w:pPr>
      <w:bookmarkStart w:name="ref13" w:id="1017"/>
      <w:r>
        <w:rPr>
          <w:rFonts w:ascii="Times New Roman" w:cs="Times New Roman" w:eastAsia="Times New Roman" w:hAnsi="Times New Roman"/>
          <w:sz w:val="16"/>
          <w:szCs w:val="18"/>
        </w:rPr>
        <w:t xml:space="preserve">[13]</w:t>
      </w:r>
      <w:bookmarkEnd w:id="1017"/>
      <w:hyperlink r:id="rIdRefLink13" w:history="1">
        <w:r>
          <w:rPr>
            <w:rFonts w:ascii="Times New Roman" w:cs="Times New Roman" w:eastAsia="Times New Roman" w:hAnsi="Times New Roman"/>
            <w:sz w:val="16"/>
            <w:szCs w:val="18"/>
          </w:rPr>
          <w:t xml:space="preserve"> J. Lei, J. Zhai, Y. Zhang, J. Qi, and C. Sun, "Supervised machine learning models for predicting sepsis-associated liver injury in patients with sepsis: development and validation study based on a multicenter cohort study," J. Med. Internet Res., vol. 27, art. e66733, 2025.</w:t>
        </w:r>
      </w:hyperlink>
    </w:p>
    <w:p>
      <w:pPr>
        <w:spacing w:after="30" w:line="228"/>
        <w:ind w:left="240" w:hanging="240"/>
        <w:jc w:val="both"/>
      </w:pPr>
      <w:bookmarkStart w:name="ref14" w:id="1018"/>
      <w:r>
        <w:rPr>
          <w:rFonts w:ascii="Times New Roman" w:cs="Times New Roman" w:eastAsia="Times New Roman" w:hAnsi="Times New Roman"/>
          <w:sz w:val="16"/>
          <w:szCs w:val="18"/>
        </w:rPr>
        <w:t xml:space="preserve">[14]</w:t>
      </w:r>
      <w:bookmarkEnd w:id="1018"/>
      <w:hyperlink r:id="rIdRefLink14" w:history="1">
        <w:r>
          <w:rPr>
            <w:rFonts w:ascii="Times New Roman" w:cs="Times New Roman" w:eastAsia="Times New Roman" w:hAnsi="Times New Roman"/>
            <w:sz w:val="16"/>
            <w:szCs w:val="18"/>
          </w:rPr>
          <w:t xml:space="preserve"> S. Rawat, H. Shanmugam, and L. Airen, "Machine learning and deep learning models for early sepsis prediction: a scoping review," Indian J. Crit. Care Med., vol. 29, no. 6, pp. 516–524, 2025.</w:t>
        </w:r>
      </w:hyperlink>
    </w:p>
    <w:p>
      <w:pPr>
        <w:spacing w:after="30" w:line="228"/>
        <w:ind w:left="240" w:hanging="240"/>
        <w:jc w:val="both"/>
      </w:pPr>
      <w:bookmarkStart w:name="ref15" w:id="1019"/>
      <w:r>
        <w:rPr>
          <w:rFonts w:ascii="Times New Roman" w:cs="Times New Roman" w:eastAsia="Times New Roman" w:hAnsi="Times New Roman"/>
          <w:sz w:val="16"/>
          <w:szCs w:val="18"/>
        </w:rPr>
        <w:t xml:space="preserve">[15]</w:t>
      </w:r>
      <w:bookmarkEnd w:id="1019"/>
      <w:hyperlink r:id="rIdRefLink15" w:history="1">
        <w:r>
          <w:rPr>
            <w:rFonts w:ascii="Times New Roman" w:cs="Times New Roman" w:eastAsia="Times New Roman" w:hAnsi="Times New Roman"/>
            <w:sz w:val="16"/>
            <w:szCs w:val="18"/>
          </w:rPr>
          <w:t xml:space="preserve"> S. Bomrah, M. Uddin, U. Upadhyay, M. Komorowski, J. Priya, E. Dhar, S.-C. Hsu, and S. Syed-Abdul, "A scoping review of machine learning for sepsis prediction: feature engineering strategies and model performance, a step towards explainability," Crit. Care, vol. 28, art. 180, 2024.</w:t>
        </w:r>
      </w:hyperlink>
    </w:p>
    <w:p>
      <w:pPr>
        <w:spacing w:after="30" w:line="228"/>
        <w:ind w:left="240" w:hanging="240"/>
        <w:jc w:val="both"/>
      </w:pPr>
      <w:bookmarkStart w:name="ref16" w:id="1020"/>
      <w:r>
        <w:rPr>
          <w:rFonts w:ascii="Times New Roman" w:cs="Times New Roman" w:eastAsia="Times New Roman" w:hAnsi="Times New Roman"/>
          <w:sz w:val="16"/>
          <w:szCs w:val="18"/>
        </w:rPr>
        <w:t xml:space="preserve">[16]</w:t>
      </w:r>
      <w:bookmarkEnd w:id="1020"/>
      <w:hyperlink r:id="rIdRefLink16" w:history="1">
        <w:r>
          <w:rPr>
            <w:rFonts w:ascii="Times New Roman" w:cs="Times New Roman" w:eastAsia="Times New Roman" w:hAnsi="Times New Roman"/>
            <w:sz w:val="16"/>
            <w:szCs w:val="18"/>
          </w:rPr>
          <w:t xml:space="preserve"> Y. Ramakrishnaiah, N. Macesic, G. I. Webb, A. Y. Peleg, and S. Tyagi, "</w:t>
          <w:t xml:space="preserve">EHR</w:t>
          <w:noBreakHyphen/>
          <w:t xml:space="preserve">ML</w:t>
          <w:t xml:space="preserve">: A data-driven framework for designing machine learning applications with electronic health records," International Journal of Medical Informatics, vol. 196, art. 105816, 2025.</w:t>
        </w:r>
      </w:hyperlink>
    </w:p>
    <w:p>
      <w:pPr>
        <w:spacing w:after="30" w:line="228"/>
        <w:ind w:left="240" w:hanging="240"/>
        <w:jc w:val="both"/>
      </w:pPr>
      <w:bookmarkStart w:name="ref17" w:id="1021"/>
      <w:r>
        <w:rPr>
          <w:rFonts w:ascii="Times New Roman" w:cs="Times New Roman" w:eastAsia="Times New Roman" w:hAnsi="Times New Roman"/>
          <w:sz w:val="16"/>
          <w:szCs w:val="18"/>
        </w:rPr>
        <w:t xml:space="preserve">[17]</w:t>
      </w:r>
      <w:bookmarkEnd w:id="1021"/>
      <w:hyperlink r:id="rIdRefLink17" w:history="1">
        <w:r>
          <w:rPr>
            <w:rFonts w:ascii="Times New Roman" w:cs="Times New Roman" w:eastAsia="Times New Roman" w:hAnsi="Times New Roman"/>
            <w:sz w:val="16"/>
            <w:szCs w:val="18"/>
          </w:rPr>
          <w:t xml:space="preserve"> C. Guo, G. Pleiss, Y. Sun, and K. Q. Weinberger, "On calibration of modern neural networks," in Proc. 34th Int. Conf. Machine Learning (ICML), 2017, pp. 1321–1330.</w:t>
        </w:r>
      </w:hyperlink>
    </w:p>
    <w:p>
      <w:pPr>
        <w:spacing w:after="30" w:line="228"/>
        <w:ind w:left="240" w:hanging="240"/>
        <w:jc w:val="both"/>
      </w:pPr>
      <w:bookmarkStart w:name="ref18" w:id="1022"/>
      <w:r>
        <w:rPr>
          <w:rFonts w:ascii="Times New Roman" w:cs="Times New Roman" w:eastAsia="Times New Roman" w:hAnsi="Times New Roman"/>
          <w:sz w:val="16"/>
          <w:szCs w:val="18"/>
        </w:rPr>
        <w:t xml:space="preserve">[18]</w:t>
      </w:r>
      <w:bookmarkEnd w:id="1022"/>
      <w:hyperlink r:id="rIdRefLink18" w:history="1">
        <w:r>
          <w:rPr>
            <w:rFonts w:ascii="Times New Roman" w:cs="Times New Roman" w:eastAsia="Times New Roman" w:hAnsi="Times New Roman"/>
            <w:sz w:val="16"/>
            <w:szCs w:val="18"/>
          </w:rPr>
          <w:t xml:space="preserve"> C. Nadeau and Y. Bengio, "Inference for the generalization error," Machine Learning, vol. 52, no. 3, pp. 239–281, 2003.</w:t>
        </w:r>
      </w:hyperlink>
    </w:p>
    <w:p>
      <w:pPr>
        <w:spacing w:after="30" w:line="228"/>
        <w:ind w:left="240" w:hanging="240"/>
        <w:jc w:val="both"/>
      </w:pPr>
      <w:bookmarkStart w:name="ref19" w:id="1023"/>
      <w:r>
        <w:rPr>
          <w:rFonts w:ascii="Times New Roman" w:cs="Times New Roman" w:eastAsia="Times New Roman" w:hAnsi="Times New Roman"/>
          <w:sz w:val="16"/>
          <w:szCs w:val="18"/>
        </w:rPr>
        <w:t xml:space="preserve">[19]</w:t>
      </w:r>
      <w:bookmarkEnd w:id="1023"/>
      <w:hyperlink r:id="rIdRefLink19" w:history="1">
        <w:r>
          <w:rPr>
            <w:rFonts w:ascii="Times New Roman" w:cs="Times New Roman" w:eastAsia="Times New Roman" w:hAnsi="Times New Roman"/>
            <w:sz w:val="16"/>
            <w:szCs w:val="18"/>
          </w:rPr>
          <w:t xml:space="preserve"> L. Prokhorenkova, G. Gusev, A. Vorobev, A. V. Dorogush, and A. Gulin, "CatBoost: Unbiased boosting with categorical features," in Advances in Neural Information Processing Systems 31 (NeurIPS), 2018, pp. 6638–6648.</w:t>
        </w:r>
      </w:hyperlink>
    </w:p>
    <w:p>
      <w:pPr>
        <w:spacing w:after="30" w:line="228"/>
        <w:ind w:left="240" w:hanging="240"/>
        <w:jc w:val="both"/>
      </w:pPr>
      <w:bookmarkStart w:name="ref20" w:id="1024"/>
      <w:r>
        <w:rPr>
          <w:rFonts w:ascii="Times New Roman" w:cs="Times New Roman" w:eastAsia="Times New Roman" w:hAnsi="Times New Roman"/>
          <w:sz w:val="16"/>
          <w:szCs w:val="18"/>
        </w:rPr>
        <w:t xml:space="preserve">[20]</w:t>
      </w:r>
      <w:bookmarkEnd w:id="1024"/>
      <w:hyperlink r:id="rIdRefLink20" w:history="1">
        <w:r>
          <w:rPr>
            <w:rFonts w:ascii="Times New Roman" w:cs="Times New Roman" w:eastAsia="Times New Roman" w:hAnsi="Times New Roman"/>
            <w:sz w:val="16"/>
            <w:szCs w:val="18"/>
          </w:rPr>
          <w:t xml:space="preserve"> F. Pedregosa et al., "Scikit-learn: Machine learning in Python," J. Mach. Learn. Res., vol. 12, pp. 2825–2830, 2011.</w:t>
        </w:r>
      </w:hyperlink>
    </w:p>
    <w:p>
      <w:pPr>
        <w:spacing w:after="30" w:line="228"/>
        <w:ind w:left="240" w:hanging="240"/>
        <w:jc w:val="both"/>
      </w:pPr>
      <w:bookmarkStart w:name="ref21" w:id="1025"/>
      <w:r>
        <w:rPr>
          <w:rFonts w:ascii="Times New Roman" w:cs="Times New Roman" w:eastAsia="Times New Roman" w:hAnsi="Times New Roman"/>
          <w:sz w:val="16"/>
          <w:szCs w:val="18"/>
        </w:rPr>
        <w:t xml:space="preserve">[21]</w:t>
      </w:r>
      <w:bookmarkEnd w:id="1025"/>
      <w:hyperlink r:id="rIdRefLink21" w:history="1">
        <w:r>
          <w:rPr>
            <w:rFonts w:ascii="Times New Roman" w:cs="Times New Roman" w:eastAsia="Times New Roman" w:hAnsi="Times New Roman"/>
            <w:sz w:val="16"/>
            <w:szCs w:val="18"/>
          </w:rPr>
          <w:t xml:space="preserve"> B. Van Calster, E. W. Steyerberg, L. Wynants, and M. van Smeden, "There is no such thing as a validated prediction model," BMC Med., vol. 21, art. 70, 2023.</w:t>
        </w:r>
      </w:hyperlink>
    </w:p>
    <w:p>
      <w:pPr>
        <w:spacing w:after="30" w:line="228"/>
        <w:ind w:left="240" w:hanging="240"/>
        <w:jc w:val="both"/>
      </w:pPr>
      <w:bookmarkStart w:name="ref22" w:id="1026"/>
      <w:r>
        <w:rPr>
          <w:rFonts w:ascii="Times New Roman" w:cs="Times New Roman" w:eastAsia="Times New Roman" w:hAnsi="Times New Roman"/>
          <w:sz w:val="16"/>
          <w:szCs w:val="18"/>
        </w:rPr>
        <w:t xml:space="preserve">[22]</w:t>
      </w:r>
      <w:bookmarkEnd w:id="1026"/>
      <w:hyperlink r:id="rIdRefLink22" w:history="1">
        <w:r>
          <w:rPr>
            <w:rFonts w:ascii="Times New Roman" w:cs="Times New Roman" w:eastAsia="Times New Roman" w:hAnsi="Times New Roman"/>
            <w:sz w:val="16"/>
            <w:szCs w:val="18"/>
          </w:rPr>
          <w:t xml:space="preserve"> A. A. H. de Hond, V. B. Shah, I. M. J. Kant, B. Van Calster, E. W. Steyerberg, and T. Hernandez-Boussard, "Perspectives on validation of clinical predictive algorithms," npj Digit. Med., vol. 6, art. 86, 2023.</w:t>
        </w:r>
      </w:hyperlink>
    </w:p>
    <w:sectPr>
      <w:type w:val="continuous"/>
      <w:pgSz w:w="12240" w:h="15840" w:orient="portrait"/>
      <w:pgMar w:top="720" w:right="1080" w:bottom="1080" w:left="1080" w:header="708" w:footer="708" w:gutter="0"/>
      <w:pgNumType/>
      <w:cols w:space="288"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1" Type="http://schemas.openxmlformats.org/officeDocument/2006/relationships/fontTable" Target="fontTable.xml"/><Relationship Id="rIdV3F1" Type="http://schemas.openxmlformats.org/officeDocument/2006/relationships/image" Target="media/rIdV3F1.png"/><Relationship Id="rIdV3F4" Type="http://schemas.openxmlformats.org/officeDocument/2006/relationships/image" Target="media/rIdV3F4.png"/><Relationship Id="rIdV3F3" Type="http://schemas.openxmlformats.org/officeDocument/2006/relationships/image" Target="media/rIdV3F3.png"/><Relationship Id="rIdRefLink1" Type="http://schemas.openxmlformats.org/officeDocument/2006/relationships/hyperlink" Target="https://doi.org/10.1001/jama.2016.0287" TargetMode="External"/><Relationship Id="rIdRefLink2" Type="http://schemas.openxmlformats.org/officeDocument/2006/relationships/hyperlink" Target="https://doi.org/10.1001/jama.1993.03510240069035" TargetMode="External"/><Relationship Id="rIdRefLink3" Type="http://schemas.openxmlformats.org/officeDocument/2006/relationships/hyperlink" Target="https://doi.org/10.1038/s41597-022-01899-x" TargetMode="External"/><Relationship Id="rIdRefLink4" Type="http://schemas.openxmlformats.org/officeDocument/2006/relationships/hyperlink" Target="https://doi.org/10.1038/sdata.2018.178" TargetMode="External"/><Relationship Id="rIdRefLink5" Type="http://schemas.openxmlformats.org/officeDocument/2006/relationships/hyperlink" Target="https://doi.org/10.1145/2939672.2939785" TargetMode="External"/><Relationship Id="rIdRefLink6" Type="http://schemas.openxmlformats.org/officeDocument/2006/relationships/hyperlink" Target="https://doi.org/10.48550/arXiv.2502.17978" TargetMode="External"/><Relationship Id="rIdRefLink7" Type="http://schemas.openxmlformats.org/officeDocument/2006/relationships/hyperlink" Target="https://doi.org/10.1016/S0893-6080(05)80023-1" TargetMode="External"/><Relationship Id="rIdRefLink8" Type="http://schemas.openxmlformats.org/officeDocument/2006/relationships/hyperlink" Target="https://doi.org/10.1097/MD.0000000000037634" TargetMode="External"/><Relationship Id="rIdRefLink9" Type="http://schemas.openxmlformats.org/officeDocument/2006/relationships/hyperlink" Target="https://proceedings.neurips.cc/paper/2017/hash/8a20a8621978632d76c43dfd28b67767-Abstract.html" TargetMode="External"/><Relationship Id="rIdRefLink10" Type="http://schemas.openxmlformats.org/officeDocument/2006/relationships/hyperlink" Target="https://doi.org/10.1186/s40001-023-01593-7" TargetMode="External"/><Relationship Id="rIdRefLink11" Type="http://schemas.openxmlformats.org/officeDocument/2006/relationships/hyperlink" Target="https://proceedings.neurips.cc/paper/2017/hash/6449f44a102fde848669bdd9eb6b76fa-Abstract.html" TargetMode="External"/><Relationship Id="rIdRefLink12" Type="http://schemas.openxmlformats.org/officeDocument/2006/relationships/hyperlink" Target="https://doi.org/10.1007/s11739-024-03732-2" TargetMode="External"/><Relationship Id="rIdRefLink13" Type="http://schemas.openxmlformats.org/officeDocument/2006/relationships/hyperlink" Target="https://doi.org/10.2196/66733" TargetMode="External"/><Relationship Id="rIdRefLink14" Type="http://schemas.openxmlformats.org/officeDocument/2006/relationships/hyperlink" Target="https://doi.org/10.5005/jp-journals-10071-24986" TargetMode="External"/><Relationship Id="rIdRefLink15" Type="http://schemas.openxmlformats.org/officeDocument/2006/relationships/hyperlink" Target="https://doi.org/10.1186/s13054-024-04948-6" TargetMode="External"/><Relationship Id="rIdRefLink16" Type="http://schemas.openxmlformats.org/officeDocument/2006/relationships/hyperlink" Target="https://doi.org/10.1016/j.ijmedinf.2025.105816" TargetMode="External"/><Relationship Id="rIdRefLink17" Type="http://schemas.openxmlformats.org/officeDocument/2006/relationships/hyperlink" Target="https://proceedings.mlr.press/v70/guo17a.html" TargetMode="External"/><Relationship Id="rIdRefLink18" Type="http://schemas.openxmlformats.org/officeDocument/2006/relationships/hyperlink" Target="https://doi.org/10.1023/A:1024068626366" TargetMode="External"/><Relationship Id="rIdRefLink19" Type="http://schemas.openxmlformats.org/officeDocument/2006/relationships/hyperlink" Target="https://papers.nips.cc/paper_files/paper/2018/hash/14491b756b3a51daac41c24863285549-Abstract.html" TargetMode="External"/><Relationship Id="rIdRefLink20" Type="http://schemas.openxmlformats.org/officeDocument/2006/relationships/hyperlink" Target="https://jmlr.org/papers/v12/pedregosa11a.html" TargetMode="External"/><Relationship Id="rIdRefLink21" Type="http://schemas.openxmlformats.org/officeDocument/2006/relationships/hyperlink" Target="https://doi.org/10.1186/s12916-023-02779-w" TargetMode="External"/><Relationship Id="rIdRefLink22" Type="http://schemas.openxmlformats.org/officeDocument/2006/relationships/hyperlink" Target="https://doi.org/10.1038/s41746-023-00832-9"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Stacked Ensembles Versus a Single Gradient-Boosted Model for Sepsis Outcome Prediction: A Controlled and Explainable Replication on MIMIC-IV and eICU</dc:title>
  <dc:subject>Sepsis outcome prediction, stacked ensembles, explainable AI</dc:subject>
  <dc:creator>Mansoob-e-Zahra, Ijaz Hussain</dc:creator>
  <dc:description>Ablation-based study of a two-layer stacked-ensemble framework for sepsis mortality and length-of-stay prediction on MIMIC-IV and eICU.</dc:description>
  <cp:lastModifiedBy>Un-named</cp:lastModifiedBy>
  <cp:revision>1</cp:revision>
  <dcterms:created xsi:type="dcterms:W3CDTF">2026-08-07T08:56:31.864Z</dcterms:created>
  <dcterms:modified xsi:type="dcterms:W3CDTF">2026-08-07T08:56:31.864Z</dcterms:modified>
</cp:coreProperties>
</file>

<file path=docProps/custom.xml><?xml version="1.0" encoding="utf-8"?>
<Properties xmlns="http://schemas.openxmlformats.org/officeDocument/2006/custom-properties" xmlns:vt="http://schemas.openxmlformats.org/officeDocument/2006/docPropsVTypes"/>
</file>