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52"/>
          <w:szCs w:val="52"/>
        </w:rPr>
        <w:t xml:space="preserve">Asian Paints Ltd</w:t>
      </w:r>
    </w:p>
    <w:p>
      <w:pPr>
        <w:spacing w:after="60"/>
        <w:jc w:val="center"/>
      </w:pPr>
      <w:r>
        <w:rPr>
          <w:b/>
          <w:bCs/>
          <w:color w:val="1F3864"/>
          <w:sz w:val="32"/>
          <w:szCs w:val="32"/>
        </w:rPr>
        <w:t xml:space="preserve">Discounted Cash Flow (DCF) Valuation Report</w:t>
      </w:r>
    </w:p>
    <w:p>
      <w:pPr>
        <w:spacing w:after="40"/>
        <w:jc w:val="center"/>
      </w:pPr>
      <w:r>
        <w:rPr>
          <w:i/>
          <w:iCs/>
          <w:color w:val="666666"/>
          <w:sz w:val="22"/>
          <w:szCs w:val="22"/>
        </w:rPr>
        <w:t xml:space="preserve">FCFF Approach | Forecast Period FY2027–FY2031</w:t>
      </w:r>
    </w:p>
    <w:p>
      <w:pPr>
        <w:spacing w:after="500"/>
        <w:jc w:val="center"/>
      </w:pPr>
      <w:r>
        <w:rPr>
          <w:color w:val="666666"/>
          <w:sz w:val="20"/>
          <w:szCs w:val="20"/>
        </w:rPr>
        <w:t xml:space="preserve">Prepared: August 2026</w:t>
      </w:r>
    </w:p>
    <w:p>
      <w:pPr>
        <w:pStyle w:val="Heading2"/>
        <w:spacing w:after="120" w:before="240"/>
      </w:pPr>
      <w:r>
        <w:rPr>
          <w:b/>
          <w:bCs/>
          <w:color w:val="1F3864"/>
          <w:sz w:val="24"/>
          <w:szCs w:val="24"/>
        </w:rPr>
        <w:t xml:space="preserve">1. Purpose of this report</w:t>
      </w:r>
    </w:p>
    <w:p>
      <w:pPr>
        <w:spacing w:after="160" w:line="276"/>
      </w:pPr>
      <w:r>
        <w:rPr>
          <w:sz w:val="22"/>
          <w:szCs w:val="22"/>
        </w:rPr>
        <w:t xml:space="preserve">This report summarises a Discounted Cash Flow (DCF) valuation model built for Asian Paints Ltd, India's largest decorative paints company. The model estimates the company's fair or intrinsic value per share using the Free Cash Flow to Firm (FCFF) method, and compares that value against the current market price. The full working model is available in the accompanying Excel file, Asian_Paints_DCF_Valuation_Model.xlsx.</w:t>
      </w:r>
    </w:p>
    <w:p>
      <w:pPr>
        <w:pStyle w:val="Heading2"/>
        <w:spacing w:after="120" w:before="240"/>
      </w:pPr>
      <w:r>
        <w:rPr>
          <w:b/>
          <w:bCs/>
          <w:color w:val="1F3864"/>
          <w:sz w:val="24"/>
          <w:szCs w:val="24"/>
        </w:rPr>
        <w:t xml:space="preserve">2. Methodology at a glance</w:t>
      </w:r>
    </w:p>
    <w:p>
      <w:pPr>
        <w:spacing w:after="160" w:line="276"/>
      </w:pPr>
      <w:r>
        <w:rPr>
          <w:sz w:val="22"/>
          <w:szCs w:val="22"/>
        </w:rPr>
        <w:t xml:space="preserve">The model follows a standard five-step FCFF valuation approach:</w:t>
      </w:r>
    </w:p>
    <w:p>
      <w:pPr>
        <w:pStyle w:val="ListParagraph"/>
        <w:numPr>
          <w:ilvl w:val="0"/>
          <w:numId w:val="1"/>
        </w:numPr>
        <w:spacing w:after="80"/>
      </w:pPr>
      <w:r>
        <w:rPr>
          <w:sz w:val="22"/>
          <w:szCs w:val="22"/>
        </w:rPr>
        <w:t xml:space="preserve">Build a 10-year historical financial statement (FY2017–FY2026) to understand revenue, margin, and capital efficiency trends.</w:t>
      </w:r>
    </w:p>
    <w:p>
      <w:pPr>
        <w:pStyle w:val="ListParagraph"/>
        <w:numPr>
          <w:ilvl w:val="0"/>
          <w:numId w:val="1"/>
        </w:numPr>
        <w:spacing w:after="80"/>
      </w:pPr>
      <w:r>
        <w:rPr>
          <w:sz w:val="22"/>
          <w:szCs w:val="22"/>
        </w:rPr>
        <w:t xml:space="preserve">Estimate the company's Return on Invested Capital (ROIC) and Reinvestment Rate to derive an intrinsic (fundamental) growth rate.</w:t>
      </w:r>
    </w:p>
    <w:p>
      <w:pPr>
        <w:pStyle w:val="ListParagraph"/>
        <w:numPr>
          <w:ilvl w:val="0"/>
          <w:numId w:val="1"/>
        </w:numPr>
        <w:spacing w:after="80"/>
      </w:pPr>
      <w:r>
        <w:rPr>
          <w:sz w:val="22"/>
          <w:szCs w:val="22"/>
        </w:rPr>
        <w:t xml:space="preserve">Compute the Weighted Average Cost of Capital (WACC) using a peer-comparable beta approach.</w:t>
      </w:r>
    </w:p>
    <w:p>
      <w:pPr>
        <w:pStyle w:val="ListParagraph"/>
        <w:numPr>
          <w:ilvl w:val="0"/>
          <w:numId w:val="1"/>
        </w:numPr>
        <w:spacing w:after="80"/>
      </w:pPr>
      <w:r>
        <w:rPr>
          <w:sz w:val="22"/>
          <w:szCs w:val="22"/>
        </w:rPr>
        <w:t xml:space="preserve">Project FCFF for five years (FY2027F–FY2031F) and discount them to present value using the mid-year convention.</w:t>
      </w:r>
    </w:p>
    <w:p>
      <w:pPr>
        <w:pStyle w:val="ListParagraph"/>
        <w:numPr>
          <w:ilvl w:val="0"/>
          <w:numId w:val="1"/>
        </w:numPr>
        <w:spacing w:after="80"/>
      </w:pPr>
      <w:r>
        <w:rPr>
          <w:sz w:val="22"/>
          <w:szCs w:val="22"/>
        </w:rPr>
        <w:t xml:space="preserve">Calculate a Terminal Value using the Gordon Growth (perpetuity) method, discount it back, and derive equity value per share.</w:t>
      </w:r>
    </w:p>
    <w:p>
      <w:pPr>
        <w:pStyle w:val="Heading2"/>
        <w:spacing w:after="120" w:before="240"/>
      </w:pPr>
      <w:r>
        <w:rPr>
          <w:b/>
          <w:bCs/>
          <w:color w:val="1F3864"/>
          <w:sz w:val="24"/>
          <w:szCs w:val="24"/>
        </w:rPr>
        <w:t xml:space="preserve">3. Historical financial performance (FY2017–FY2026)</w:t>
      </w:r>
    </w:p>
    <w:p>
      <w:pPr>
        <w:spacing w:after="160" w:line="276"/>
      </w:pPr>
      <w:r>
        <w:rPr>
          <w:sz w:val="22"/>
          <w:szCs w:val="22"/>
        </w:rPr>
        <w:t xml:space="preserve">Asian Paints has grown revenue from ₹15,062 Cr in FY2017 to ₹35,584 Cr in FY2026, a roughly 10% CAGR over the decade, though growth has been uneven — a strong post-pandemic rebound (FY2022 sales grew 34%) was followed by a slowdown, with FY2025 sales actually declining 4.5% amid weak demand and rising competition. Profitability has also been volatile: EBITDA margins ranged from a low of ~16.5% (FY2022, hit by raw material inflation) to a high of ~22.4% (FY2021).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50"/>
        <w:gridCol w:w="1150"/>
        <w:gridCol w:w="1150"/>
        <w:gridCol w:w="1150"/>
        <w:gridCol w:w="115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Metric</w:t>
            </w:r>
          </w:p>
        </w:tc>
        <w:tc>
          <w:tcPr>
            <w:tcW w:type="dxa" w:w="1150"/>
            <w:shd w:fill="1F3864" w:val="clear"/>
            <w:tcMar>
              <w:top w:type="dxa" w:w="80"/>
              <w:left w:type="dxa" w:w="100"/>
              <w:bottom w:type="dxa" w:w="80"/>
              <w:right w:type="dxa" w:w="100"/>
            </w:tcMar>
          </w:tcPr>
          <w:p>
            <w:pPr>
              <w:jc w:val="center"/>
            </w:pPr>
            <w:r>
              <w:rPr>
                <w:b/>
                <w:bCs/>
                <w:color w:val="FFFFFF"/>
                <w:sz w:val="20"/>
                <w:szCs w:val="20"/>
              </w:rPr>
              <w:t xml:space="preserve">FY2021</w:t>
            </w:r>
          </w:p>
        </w:tc>
        <w:tc>
          <w:tcPr>
            <w:tcW w:type="dxa" w:w="1150"/>
            <w:shd w:fill="1F3864" w:val="clear"/>
            <w:tcMar>
              <w:top w:type="dxa" w:w="80"/>
              <w:left w:type="dxa" w:w="100"/>
              <w:bottom w:type="dxa" w:w="80"/>
              <w:right w:type="dxa" w:w="100"/>
            </w:tcMar>
          </w:tcPr>
          <w:p>
            <w:pPr>
              <w:jc w:val="center"/>
            </w:pPr>
            <w:r>
              <w:rPr>
                <w:b/>
                <w:bCs/>
                <w:color w:val="FFFFFF"/>
                <w:sz w:val="20"/>
                <w:szCs w:val="20"/>
              </w:rPr>
              <w:t xml:space="preserve">FY2022</w:t>
            </w:r>
          </w:p>
        </w:tc>
        <w:tc>
          <w:tcPr>
            <w:tcW w:type="dxa" w:w="1150"/>
            <w:shd w:fill="1F3864" w:val="clear"/>
            <w:tcMar>
              <w:top w:type="dxa" w:w="80"/>
              <w:left w:type="dxa" w:w="100"/>
              <w:bottom w:type="dxa" w:w="80"/>
              <w:right w:type="dxa" w:w="100"/>
            </w:tcMar>
          </w:tcPr>
          <w:p>
            <w:pPr>
              <w:jc w:val="center"/>
            </w:pPr>
            <w:r>
              <w:rPr>
                <w:b/>
                <w:bCs/>
                <w:color w:val="FFFFFF"/>
                <w:sz w:val="20"/>
                <w:szCs w:val="20"/>
              </w:rPr>
              <w:t xml:space="preserve">FY2023</w:t>
            </w:r>
          </w:p>
        </w:tc>
        <w:tc>
          <w:tcPr>
            <w:tcW w:type="dxa" w:w="1150"/>
            <w:shd w:fill="1F3864" w:val="clear"/>
            <w:tcMar>
              <w:top w:type="dxa" w:w="80"/>
              <w:left w:type="dxa" w:w="100"/>
              <w:bottom w:type="dxa" w:w="80"/>
              <w:right w:type="dxa" w:w="100"/>
            </w:tcMar>
          </w:tcPr>
          <w:p>
            <w:pPr>
              <w:jc w:val="center"/>
            </w:pPr>
            <w:r>
              <w:rPr>
                <w:b/>
                <w:bCs/>
                <w:color w:val="FFFFFF"/>
                <w:sz w:val="20"/>
                <w:szCs w:val="20"/>
              </w:rPr>
              <w:t xml:space="preserve">FY2024</w:t>
            </w:r>
          </w:p>
        </w:tc>
        <w:tc>
          <w:tcPr>
            <w:tcW w:type="dxa" w:w="1150"/>
            <w:shd w:fill="1F3864" w:val="clear"/>
            <w:tcMar>
              <w:top w:type="dxa" w:w="80"/>
              <w:left w:type="dxa" w:w="100"/>
              <w:bottom w:type="dxa" w:w="80"/>
              <w:right w:type="dxa" w:w="100"/>
            </w:tcMar>
          </w:tcPr>
          <w:p>
            <w:pPr>
              <w:jc w:val="center"/>
            </w:pPr>
            <w:r>
              <w:rPr>
                <w:b/>
                <w:bCs/>
                <w:color w:val="FFFFFF"/>
                <w:sz w:val="20"/>
                <w:szCs w:val="20"/>
              </w:rPr>
              <w:t xml:space="preserve">FY2025</w:t>
            </w:r>
          </w:p>
        </w:tc>
        <w:tc>
          <w:tcPr>
            <w:tcW w:type="dxa" w:w="1150"/>
            <w:shd w:fill="1F3864" w:val="clear"/>
            <w:tcMar>
              <w:top w:type="dxa" w:w="80"/>
              <w:left w:type="dxa" w:w="100"/>
              <w:bottom w:type="dxa" w:w="80"/>
              <w:right w:type="dxa" w:w="100"/>
            </w:tcMar>
          </w:tcPr>
          <w:p>
            <w:pPr>
              <w:jc w:val="center"/>
            </w:pPr>
            <w:r>
              <w:rPr>
                <w:b/>
                <w:bCs/>
                <w:color w:val="FFFFFF"/>
                <w:sz w:val="20"/>
                <w:szCs w:val="20"/>
              </w:rPr>
              <w:t xml:space="preserve">FY2026</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Sales (₹ Cr)</w:t>
            </w:r>
          </w:p>
        </w:tc>
        <w:tc>
          <w:tcPr>
            <w:tcW w:type="dxa" w:w="1150"/>
            <w:tcMar>
              <w:top w:type="dxa" w:w="80"/>
              <w:left w:type="dxa" w:w="100"/>
              <w:bottom w:type="dxa" w:w="80"/>
              <w:right w:type="dxa" w:w="100"/>
            </w:tcMar>
          </w:tcPr>
          <w:p>
            <w:pPr>
              <w:jc w:val="center"/>
            </w:pPr>
            <w:r>
              <w:rPr>
                <w:b w:val="false"/>
                <w:bCs w:val="false"/>
                <w:color w:val="000000"/>
                <w:sz w:val="20"/>
                <w:szCs w:val="20"/>
              </w:rPr>
              <w:t xml:space="preserve">21,713</w:t>
            </w:r>
          </w:p>
        </w:tc>
        <w:tc>
          <w:tcPr>
            <w:tcW w:type="dxa" w:w="1150"/>
            <w:tcMar>
              <w:top w:type="dxa" w:w="80"/>
              <w:left w:type="dxa" w:w="100"/>
              <w:bottom w:type="dxa" w:w="80"/>
              <w:right w:type="dxa" w:w="100"/>
            </w:tcMar>
          </w:tcPr>
          <w:p>
            <w:pPr>
              <w:jc w:val="center"/>
            </w:pPr>
            <w:r>
              <w:rPr>
                <w:b w:val="false"/>
                <w:bCs w:val="false"/>
                <w:color w:val="000000"/>
                <w:sz w:val="20"/>
                <w:szCs w:val="20"/>
              </w:rPr>
              <w:t xml:space="preserve">29,101</w:t>
            </w:r>
          </w:p>
        </w:tc>
        <w:tc>
          <w:tcPr>
            <w:tcW w:type="dxa" w:w="1150"/>
            <w:tcMar>
              <w:top w:type="dxa" w:w="80"/>
              <w:left w:type="dxa" w:w="100"/>
              <w:bottom w:type="dxa" w:w="80"/>
              <w:right w:type="dxa" w:w="100"/>
            </w:tcMar>
          </w:tcPr>
          <w:p>
            <w:pPr>
              <w:jc w:val="center"/>
            </w:pPr>
            <w:r>
              <w:rPr>
                <w:b w:val="false"/>
                <w:bCs w:val="false"/>
                <w:color w:val="000000"/>
                <w:sz w:val="20"/>
                <w:szCs w:val="20"/>
              </w:rPr>
              <w:t xml:space="preserve">34,489</w:t>
            </w:r>
          </w:p>
        </w:tc>
        <w:tc>
          <w:tcPr>
            <w:tcW w:type="dxa" w:w="1150"/>
            <w:tcMar>
              <w:top w:type="dxa" w:w="80"/>
              <w:left w:type="dxa" w:w="100"/>
              <w:bottom w:type="dxa" w:w="80"/>
              <w:right w:type="dxa" w:w="100"/>
            </w:tcMar>
          </w:tcPr>
          <w:p>
            <w:pPr>
              <w:jc w:val="center"/>
            </w:pPr>
            <w:r>
              <w:rPr>
                <w:b w:val="false"/>
                <w:bCs w:val="false"/>
                <w:color w:val="000000"/>
                <w:sz w:val="20"/>
                <w:szCs w:val="20"/>
              </w:rPr>
              <w:t xml:space="preserve">35,495</w:t>
            </w:r>
          </w:p>
        </w:tc>
        <w:tc>
          <w:tcPr>
            <w:tcW w:type="dxa" w:w="1150"/>
            <w:tcMar>
              <w:top w:type="dxa" w:w="80"/>
              <w:left w:type="dxa" w:w="100"/>
              <w:bottom w:type="dxa" w:w="80"/>
              <w:right w:type="dxa" w:w="100"/>
            </w:tcMar>
          </w:tcPr>
          <w:p>
            <w:pPr>
              <w:jc w:val="center"/>
            </w:pPr>
            <w:r>
              <w:rPr>
                <w:b w:val="false"/>
                <w:bCs w:val="false"/>
                <w:color w:val="000000"/>
                <w:sz w:val="20"/>
                <w:szCs w:val="20"/>
              </w:rPr>
              <w:t xml:space="preserve">33,906</w:t>
            </w:r>
          </w:p>
        </w:tc>
        <w:tc>
          <w:tcPr>
            <w:tcW w:type="dxa" w:w="1150"/>
            <w:tcMar>
              <w:top w:type="dxa" w:w="80"/>
              <w:left w:type="dxa" w:w="100"/>
              <w:bottom w:type="dxa" w:w="80"/>
              <w:right w:type="dxa" w:w="100"/>
            </w:tcMar>
          </w:tcPr>
          <w:p>
            <w:pPr>
              <w:jc w:val="center"/>
            </w:pPr>
            <w:r>
              <w:rPr>
                <w:b w:val="false"/>
                <w:bCs w:val="false"/>
                <w:color w:val="000000"/>
                <w:sz w:val="20"/>
                <w:szCs w:val="20"/>
              </w:rPr>
              <w:t xml:space="preserve">35,584</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Sales growth</w:t>
            </w:r>
          </w:p>
        </w:tc>
        <w:tc>
          <w:tcPr>
            <w:tcW w:type="dxa" w:w="1150"/>
            <w:tcMar>
              <w:top w:type="dxa" w:w="80"/>
              <w:left w:type="dxa" w:w="100"/>
              <w:bottom w:type="dxa" w:w="80"/>
              <w:right w:type="dxa" w:w="100"/>
            </w:tcMar>
          </w:tcPr>
          <w:p>
            <w:pPr>
              <w:jc w:val="center"/>
            </w:pPr>
            <w:r>
              <w:rPr>
                <w:b w:val="false"/>
                <w:bCs w:val="false"/>
                <w:color w:val="000000"/>
                <w:sz w:val="20"/>
                <w:szCs w:val="20"/>
              </w:rPr>
              <w:t xml:space="preserve">7.4%</w:t>
            </w:r>
          </w:p>
        </w:tc>
        <w:tc>
          <w:tcPr>
            <w:tcW w:type="dxa" w:w="1150"/>
            <w:tcMar>
              <w:top w:type="dxa" w:w="80"/>
              <w:left w:type="dxa" w:w="100"/>
              <w:bottom w:type="dxa" w:w="80"/>
              <w:right w:type="dxa" w:w="100"/>
            </w:tcMar>
          </w:tcPr>
          <w:p>
            <w:pPr>
              <w:jc w:val="center"/>
            </w:pPr>
            <w:r>
              <w:rPr>
                <w:b w:val="false"/>
                <w:bCs w:val="false"/>
                <w:color w:val="000000"/>
                <w:sz w:val="20"/>
                <w:szCs w:val="20"/>
              </w:rPr>
              <w:t xml:space="preserve">34.0%</w:t>
            </w:r>
          </w:p>
        </w:tc>
        <w:tc>
          <w:tcPr>
            <w:tcW w:type="dxa" w:w="1150"/>
            <w:tcMar>
              <w:top w:type="dxa" w:w="80"/>
              <w:left w:type="dxa" w:w="100"/>
              <w:bottom w:type="dxa" w:w="80"/>
              <w:right w:type="dxa" w:w="100"/>
            </w:tcMar>
          </w:tcPr>
          <w:p>
            <w:pPr>
              <w:jc w:val="center"/>
            </w:pPr>
            <w:r>
              <w:rPr>
                <w:b w:val="false"/>
                <w:bCs w:val="false"/>
                <w:color w:val="000000"/>
                <w:sz w:val="20"/>
                <w:szCs w:val="20"/>
              </w:rPr>
              <w:t xml:space="preserve">18.5%</w:t>
            </w:r>
          </w:p>
        </w:tc>
        <w:tc>
          <w:tcPr>
            <w:tcW w:type="dxa" w:w="1150"/>
            <w:tcMar>
              <w:top w:type="dxa" w:w="80"/>
              <w:left w:type="dxa" w:w="100"/>
              <w:bottom w:type="dxa" w:w="80"/>
              <w:right w:type="dxa" w:w="100"/>
            </w:tcMar>
          </w:tcPr>
          <w:p>
            <w:pPr>
              <w:jc w:val="center"/>
            </w:pPr>
            <w:r>
              <w:rPr>
                <w:b w:val="false"/>
                <w:bCs w:val="false"/>
                <w:color w:val="000000"/>
                <w:sz w:val="20"/>
                <w:szCs w:val="20"/>
              </w:rPr>
              <w:t xml:space="preserve">2.9%</w:t>
            </w:r>
          </w:p>
        </w:tc>
        <w:tc>
          <w:tcPr>
            <w:tcW w:type="dxa" w:w="1150"/>
            <w:tcMar>
              <w:top w:type="dxa" w:w="80"/>
              <w:left w:type="dxa" w:w="100"/>
              <w:bottom w:type="dxa" w:w="80"/>
              <w:right w:type="dxa" w:w="100"/>
            </w:tcMar>
          </w:tcPr>
          <w:p>
            <w:pPr>
              <w:jc w:val="center"/>
            </w:pPr>
            <w:r>
              <w:rPr>
                <w:b w:val="false"/>
                <w:bCs w:val="false"/>
                <w:color w:val="000000"/>
                <w:sz w:val="20"/>
                <w:szCs w:val="20"/>
              </w:rPr>
              <w:t xml:space="preserve">-4.5%</w:t>
            </w:r>
          </w:p>
        </w:tc>
        <w:tc>
          <w:tcPr>
            <w:tcW w:type="dxa" w:w="1150"/>
            <w:tcMar>
              <w:top w:type="dxa" w:w="80"/>
              <w:left w:type="dxa" w:w="100"/>
              <w:bottom w:type="dxa" w:w="80"/>
              <w:right w:type="dxa" w:w="100"/>
            </w:tcMar>
          </w:tcPr>
          <w:p>
            <w:pPr>
              <w:jc w:val="center"/>
            </w:pPr>
            <w:r>
              <w:rPr>
                <w:b w:val="false"/>
                <w:bCs w:val="false"/>
                <w:color w:val="000000"/>
                <w:sz w:val="20"/>
                <w:szCs w:val="20"/>
              </w:rPr>
              <w:t xml:space="preserve">4.9%</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EBITDA margin</w:t>
            </w:r>
          </w:p>
        </w:tc>
        <w:tc>
          <w:tcPr>
            <w:tcW w:type="dxa" w:w="1150"/>
            <w:tcMar>
              <w:top w:type="dxa" w:w="80"/>
              <w:left w:type="dxa" w:w="100"/>
              <w:bottom w:type="dxa" w:w="80"/>
              <w:right w:type="dxa" w:w="100"/>
            </w:tcMar>
          </w:tcPr>
          <w:p>
            <w:pPr>
              <w:jc w:val="center"/>
            </w:pPr>
            <w:r>
              <w:rPr>
                <w:b w:val="false"/>
                <w:bCs w:val="false"/>
                <w:color w:val="000000"/>
                <w:sz w:val="20"/>
                <w:szCs w:val="20"/>
              </w:rPr>
              <w:t xml:space="preserve">22.4%</w:t>
            </w:r>
          </w:p>
        </w:tc>
        <w:tc>
          <w:tcPr>
            <w:tcW w:type="dxa" w:w="1150"/>
            <w:tcMar>
              <w:top w:type="dxa" w:w="80"/>
              <w:left w:type="dxa" w:w="100"/>
              <w:bottom w:type="dxa" w:w="80"/>
              <w:right w:type="dxa" w:w="100"/>
            </w:tcMar>
          </w:tcPr>
          <w:p>
            <w:pPr>
              <w:jc w:val="center"/>
            </w:pPr>
            <w:r>
              <w:rPr>
                <w:b w:val="false"/>
                <w:bCs w:val="false"/>
                <w:color w:val="000000"/>
                <w:sz w:val="20"/>
                <w:szCs w:val="20"/>
              </w:rPr>
              <w:t xml:space="preserve">16.5%</w:t>
            </w:r>
          </w:p>
        </w:tc>
        <w:tc>
          <w:tcPr>
            <w:tcW w:type="dxa" w:w="1150"/>
            <w:tcMar>
              <w:top w:type="dxa" w:w="80"/>
              <w:left w:type="dxa" w:w="100"/>
              <w:bottom w:type="dxa" w:w="80"/>
              <w:right w:type="dxa" w:w="100"/>
            </w:tcMar>
          </w:tcPr>
          <w:p>
            <w:pPr>
              <w:jc w:val="center"/>
            </w:pPr>
            <w:r>
              <w:rPr>
                <w:b w:val="false"/>
                <w:bCs w:val="false"/>
                <w:color w:val="000000"/>
                <w:sz w:val="20"/>
                <w:szCs w:val="20"/>
              </w:rPr>
              <w:t xml:space="preserve">18.2%</w:t>
            </w:r>
          </w:p>
        </w:tc>
        <w:tc>
          <w:tcPr>
            <w:tcW w:type="dxa" w:w="1150"/>
            <w:tcMar>
              <w:top w:type="dxa" w:w="80"/>
              <w:left w:type="dxa" w:w="100"/>
              <w:bottom w:type="dxa" w:w="80"/>
              <w:right w:type="dxa" w:w="100"/>
            </w:tcMar>
          </w:tcPr>
          <w:p>
            <w:pPr>
              <w:jc w:val="center"/>
            </w:pPr>
            <w:r>
              <w:rPr>
                <w:b w:val="false"/>
                <w:bCs w:val="false"/>
                <w:color w:val="000000"/>
                <w:sz w:val="20"/>
                <w:szCs w:val="20"/>
              </w:rPr>
              <w:t xml:space="preserve">21.4%</w:t>
            </w:r>
          </w:p>
        </w:tc>
        <w:tc>
          <w:tcPr>
            <w:tcW w:type="dxa" w:w="1150"/>
            <w:tcMar>
              <w:top w:type="dxa" w:w="80"/>
              <w:left w:type="dxa" w:w="100"/>
              <w:bottom w:type="dxa" w:w="80"/>
              <w:right w:type="dxa" w:w="100"/>
            </w:tcMar>
          </w:tcPr>
          <w:p>
            <w:pPr>
              <w:jc w:val="center"/>
            </w:pPr>
            <w:r>
              <w:rPr>
                <w:b w:val="false"/>
                <w:bCs w:val="false"/>
                <w:color w:val="000000"/>
                <w:sz w:val="20"/>
                <w:szCs w:val="20"/>
              </w:rPr>
              <w:t xml:space="preserve">17.7%</w:t>
            </w:r>
          </w:p>
        </w:tc>
        <w:tc>
          <w:tcPr>
            <w:tcW w:type="dxa" w:w="1150"/>
            <w:tcMar>
              <w:top w:type="dxa" w:w="80"/>
              <w:left w:type="dxa" w:w="100"/>
              <w:bottom w:type="dxa" w:w="80"/>
              <w:right w:type="dxa" w:w="100"/>
            </w:tcMar>
          </w:tcPr>
          <w:p>
            <w:pPr>
              <w:jc w:val="center"/>
            </w:pPr>
            <w:r>
              <w:rPr>
                <w:b w:val="false"/>
                <w:bCs w:val="false"/>
                <w:color w:val="000000"/>
                <w:sz w:val="20"/>
                <w:szCs w:val="20"/>
              </w:rPr>
              <w:t xml:space="preserve">18.8%</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EBIT margin</w:t>
            </w:r>
          </w:p>
        </w:tc>
        <w:tc>
          <w:tcPr>
            <w:tcW w:type="dxa" w:w="1150"/>
            <w:tcMar>
              <w:top w:type="dxa" w:w="80"/>
              <w:left w:type="dxa" w:w="100"/>
              <w:bottom w:type="dxa" w:w="80"/>
              <w:right w:type="dxa" w:w="100"/>
            </w:tcMar>
          </w:tcPr>
          <w:p>
            <w:pPr>
              <w:jc w:val="center"/>
            </w:pPr>
            <w:r>
              <w:rPr>
                <w:b w:val="false"/>
                <w:bCs w:val="false"/>
                <w:color w:val="000000"/>
                <w:sz w:val="20"/>
                <w:szCs w:val="20"/>
              </w:rPr>
              <w:t xml:space="preserve">19.9%</w:t>
            </w:r>
          </w:p>
        </w:tc>
        <w:tc>
          <w:tcPr>
            <w:tcW w:type="dxa" w:w="1150"/>
            <w:tcMar>
              <w:top w:type="dxa" w:w="80"/>
              <w:left w:type="dxa" w:w="100"/>
              <w:bottom w:type="dxa" w:w="80"/>
              <w:right w:type="dxa" w:w="100"/>
            </w:tcMar>
          </w:tcPr>
          <w:p>
            <w:pPr>
              <w:jc w:val="center"/>
            </w:pPr>
            <w:r>
              <w:rPr>
                <w:b w:val="false"/>
                <w:bCs w:val="false"/>
                <w:color w:val="000000"/>
                <w:sz w:val="20"/>
                <w:szCs w:val="20"/>
              </w:rPr>
              <w:t xml:space="preserve">13.9%</w:t>
            </w:r>
          </w:p>
        </w:tc>
        <w:tc>
          <w:tcPr>
            <w:tcW w:type="dxa" w:w="1150"/>
            <w:tcMar>
              <w:top w:type="dxa" w:w="80"/>
              <w:left w:type="dxa" w:w="100"/>
              <w:bottom w:type="dxa" w:w="80"/>
              <w:right w:type="dxa" w:w="100"/>
            </w:tcMar>
          </w:tcPr>
          <w:p>
            <w:pPr>
              <w:jc w:val="center"/>
            </w:pPr>
            <w:r>
              <w:rPr>
                <w:b w:val="false"/>
                <w:bCs w:val="false"/>
                <w:color w:val="000000"/>
                <w:sz w:val="20"/>
                <w:szCs w:val="20"/>
              </w:rPr>
              <w:t xml:space="preserve">15.5%</w:t>
            </w:r>
          </w:p>
        </w:tc>
        <w:tc>
          <w:tcPr>
            <w:tcW w:type="dxa" w:w="1150"/>
            <w:tcMar>
              <w:top w:type="dxa" w:w="80"/>
              <w:left w:type="dxa" w:w="100"/>
              <w:bottom w:type="dxa" w:w="80"/>
              <w:right w:type="dxa" w:w="100"/>
            </w:tcMar>
          </w:tcPr>
          <w:p>
            <w:pPr>
              <w:jc w:val="center"/>
            </w:pPr>
            <w:r>
              <w:rPr>
                <w:b w:val="false"/>
                <w:bCs w:val="false"/>
                <w:color w:val="000000"/>
                <w:sz w:val="20"/>
                <w:szCs w:val="20"/>
              </w:rPr>
              <w:t xml:space="preserve">18.5%</w:t>
            </w:r>
          </w:p>
        </w:tc>
        <w:tc>
          <w:tcPr>
            <w:tcW w:type="dxa" w:w="1150"/>
            <w:tcMar>
              <w:top w:type="dxa" w:w="80"/>
              <w:left w:type="dxa" w:w="100"/>
              <w:bottom w:type="dxa" w:w="80"/>
              <w:right w:type="dxa" w:w="100"/>
            </w:tcMar>
          </w:tcPr>
          <w:p>
            <w:pPr>
              <w:jc w:val="center"/>
            </w:pPr>
            <w:r>
              <w:rPr>
                <w:b w:val="false"/>
                <w:bCs w:val="false"/>
                <w:color w:val="000000"/>
                <w:sz w:val="20"/>
                <w:szCs w:val="20"/>
              </w:rPr>
              <w:t xml:space="preserve">14.8%</w:t>
            </w:r>
          </w:p>
        </w:tc>
        <w:tc>
          <w:tcPr>
            <w:tcW w:type="dxa" w:w="1150"/>
            <w:tcMar>
              <w:top w:type="dxa" w:w="80"/>
              <w:left w:type="dxa" w:w="100"/>
              <w:bottom w:type="dxa" w:w="80"/>
              <w:right w:type="dxa" w:w="100"/>
            </w:tcMar>
          </w:tcPr>
          <w:p>
            <w:pPr>
              <w:jc w:val="center"/>
            </w:pPr>
            <w:r>
              <w:rPr>
                <w:b w:val="false"/>
                <w:bCs w:val="false"/>
                <w:color w:val="000000"/>
                <w:sz w:val="20"/>
                <w:szCs w:val="20"/>
              </w:rPr>
              <w:t xml:space="preserve">16.5%*</w:t>
            </w:r>
          </w:p>
        </w:tc>
      </w:tr>
    </w:tbl>
    <w:p>
      <w:pPr>
        <w:spacing w:after="160" w:line="276"/>
      </w:pPr>
      <w:r>
        <w:rPr>
          <w:i/>
          <w:iCs/>
          <w:color w:val="666666"/>
          <w:sz w:val="18"/>
          <w:szCs w:val="18"/>
        </w:rPr>
        <w:t xml:space="preserve">*EBIT for FY2026 (₹6,129.5 Cr) is taken from the ROIC schedule and is the base year for the 5-year forecast.</w:t>
      </w:r>
    </w:p>
    <w:p>
      <w:pPr>
        <w:spacing w:after="60" w:before="120"/>
        <w:jc w:val="center"/>
      </w:pPr>
      <w:r>
        <w:drawing>
          <wp:inline distT="0" distB="0" distL="0" distR="0">
            <wp:extent cx="4572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610225"/>
                    </a:xfrm>
                    <a:prstGeom prst="rect">
                      <a:avLst/>
                    </a:prstGeom>
                  </pic:spPr>
                </pic:pic>
              </a:graphicData>
            </a:graphic>
          </wp:inline>
        </w:drawing>
      </w:r>
    </w:p>
    <w:p>
      <w:pPr>
        <w:spacing w:after="300"/>
        <w:jc w:val="center"/>
      </w:pPr>
      <w:r>
        <w:rPr>
          <w:i/>
          <w:iCs/>
          <w:color w:val="666666"/>
          <w:sz w:val="19"/>
          <w:szCs w:val="19"/>
        </w:rPr>
        <w:t xml:space="preserve">Figure 1 — Extract of the Historical Financial Statement tab (Income Statement, FY2017–FY2020 shown).</w:t>
      </w:r>
    </w:p>
    <w:p>
      <w:pPr>
        <w:pStyle w:val="Heading2"/>
        <w:spacing w:after="120" w:before="240"/>
      </w:pPr>
      <w:r>
        <w:rPr>
          <w:b/>
          <w:bCs/>
          <w:color w:val="1F3864"/>
          <w:sz w:val="24"/>
          <w:szCs w:val="24"/>
        </w:rPr>
        <w:t xml:space="preserve">4. Growth assumptions — ROIC and reinvestment</w:t>
      </w:r>
    </w:p>
    <w:p>
      <w:pPr>
        <w:spacing w:after="160" w:line="276"/>
      </w:pPr>
      <w:r>
        <w:rPr>
          <w:sz w:val="22"/>
          <w:szCs w:val="22"/>
        </w:rPr>
        <w:t xml:space="preserve">The model derives its growth assumptions fundamentally, rather than assuming an arbitrary growth rate. It calculates:</w:t>
      </w:r>
    </w:p>
    <w:p>
      <w:pPr>
        <w:pStyle w:val="ListParagraph"/>
        <w:numPr>
          <w:ilvl w:val="0"/>
          <w:numId w:val="1"/>
        </w:numPr>
        <w:spacing w:after="80"/>
      </w:pPr>
      <w:r>
        <w:rPr>
          <w:sz w:val="22"/>
          <w:szCs w:val="22"/>
        </w:rPr>
        <w:t xml:space="preserve">Return on Invested Capital (ROIC): averaged around 33%–55% over FY2021–FY2026, reflecting Asian Paints' asset-light, high-margin business model. FY2026 ROIC stands at 38.4%.</w:t>
      </w:r>
    </w:p>
    <w:p>
      <w:pPr>
        <w:pStyle w:val="ListParagraph"/>
        <w:numPr>
          <w:ilvl w:val="0"/>
          <w:numId w:val="1"/>
        </w:numPr>
        <w:spacing w:after="80"/>
      </w:pPr>
      <w:r>
        <w:rPr>
          <w:sz w:val="22"/>
          <w:szCs w:val="22"/>
        </w:rPr>
        <w:t xml:space="preserve">Reinvestment Rate: the 5-year median reinvestment rate is 45.5% (i.e. the company reinvests about 45.5% of its after-tax operating profit back into the business).</w:t>
      </w:r>
    </w:p>
    <w:p>
      <w:pPr>
        <w:pStyle w:val="ListParagraph"/>
        <w:numPr>
          <w:ilvl w:val="0"/>
          <w:numId w:val="1"/>
        </w:numPr>
        <w:spacing w:after="80"/>
      </w:pPr>
      <w:r>
        <w:rPr>
          <w:sz w:val="22"/>
          <w:szCs w:val="22"/>
        </w:rPr>
        <w:t xml:space="preserve">Intrinsic Growth Rate = ROIC × Reinvestment Rate, which works out to a 5-year median of 23.5% — this is the 'Expected Growth' figure used to drive the near-term FCFF forecast.</w:t>
      </w:r>
    </w:p>
    <w:p>
      <w:pPr>
        <w:spacing w:after="60" w:before="120"/>
        <w:jc w:val="center"/>
      </w:pPr>
      <w:r>
        <w:drawing>
          <wp:inline distT="0" distB="0" distL="0" distR="0">
            <wp:extent cx="4095750" cy="62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6248400"/>
                    </a:xfrm>
                    <a:prstGeom prst="rect">
                      <a:avLst/>
                    </a:prstGeom>
                  </pic:spPr>
                </pic:pic>
              </a:graphicData>
            </a:graphic>
          </wp:inline>
        </w:drawing>
      </w:r>
    </w:p>
    <w:p>
      <w:pPr>
        <w:spacing w:after="300"/>
        <w:jc w:val="center"/>
      </w:pPr>
      <w:r>
        <w:rPr>
          <w:i/>
          <w:iCs/>
          <w:color w:val="666666"/>
          <w:sz w:val="19"/>
          <w:szCs w:val="19"/>
        </w:rPr>
        <w:t xml:space="preserve">Figure 2 — ROIC and Reinvestment Rate calculation (FY2021–FY2024 shown).</w:t>
      </w:r>
    </w:p>
    <w:p>
      <w:pPr>
        <w:pStyle w:val="Heading2"/>
        <w:spacing w:after="120" w:before="240"/>
      </w:pPr>
      <w:r>
        <w:rPr>
          <w:b/>
          <w:bCs/>
          <w:color w:val="1F3864"/>
          <w:sz w:val="24"/>
          <w:szCs w:val="24"/>
        </w:rPr>
        <w:t xml:space="preserve">5. Cost of capital (WACC)</w:t>
      </w:r>
    </w:p>
    <w:p>
      <w:pPr>
        <w:spacing w:after="160" w:line="276"/>
      </w:pPr>
      <w:r>
        <w:rPr>
          <w:sz w:val="22"/>
          <w:szCs w:val="22"/>
        </w:rPr>
        <w:t xml:space="preserve">The discount rate is built bottom-up using a peer set of five listed Indian paint companies (Asian Paints, Berger Paints, Kansai Nerolac, JSW Dulux/Akzo Nobel India, and Indigo Paints):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3864" w:val="clear"/>
            <w:tcMar>
              <w:top w:type="dxa" w:w="80"/>
              <w:left w:type="dxa" w:w="100"/>
              <w:bottom w:type="dxa" w:w="80"/>
              <w:right w:type="dxa" w:w="100"/>
            </w:tcMar>
          </w:tcPr>
          <w:p>
            <w:pPr>
              <w:jc w:val="left"/>
            </w:pPr>
            <w:r>
              <w:rPr>
                <w:b/>
                <w:bCs/>
                <w:color w:val="FFFFFF"/>
                <w:sz w:val="20"/>
                <w:szCs w:val="20"/>
              </w:rPr>
              <w:t xml:space="preserve">Component</w:t>
            </w:r>
          </w:p>
        </w:tc>
        <w:tc>
          <w:tcPr>
            <w:tcW w:type="dxa" w:w="3850"/>
            <w:shd w:fill="1F3864" w:val="clear"/>
            <w:tcMar>
              <w:top w:type="dxa" w:w="80"/>
              <w:left w:type="dxa" w:w="100"/>
              <w:bottom w:type="dxa" w:w="80"/>
              <w:right w:type="dxa" w:w="100"/>
            </w:tcMar>
          </w:tcPr>
          <w:p>
            <w:pPr>
              <w:jc w:val="center"/>
            </w:pPr>
            <w:r>
              <w:rPr>
                <w:b/>
                <w:bCs/>
                <w:color w:val="FFFFFF"/>
                <w:sz w:val="20"/>
                <w:szCs w:val="20"/>
              </w:rPr>
              <w:t xml:space="preserve">Value</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Risk-free rate</w:t>
            </w:r>
          </w:p>
        </w:tc>
        <w:tc>
          <w:tcPr>
            <w:tcW w:type="dxa" w:w="3850"/>
            <w:tcMar>
              <w:top w:type="dxa" w:w="80"/>
              <w:left w:type="dxa" w:w="100"/>
              <w:bottom w:type="dxa" w:w="80"/>
              <w:right w:type="dxa" w:w="100"/>
            </w:tcMar>
          </w:tcPr>
          <w:p>
            <w:pPr>
              <w:jc w:val="center"/>
            </w:pPr>
            <w:r>
              <w:rPr>
                <w:b w:val="false"/>
                <w:bCs w:val="false"/>
                <w:color w:val="000000"/>
                <w:sz w:val="20"/>
                <w:szCs w:val="20"/>
              </w:rPr>
              <w:t xml:space="preserve">6.85%</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Equity risk premium</w:t>
            </w:r>
          </w:p>
        </w:tc>
        <w:tc>
          <w:tcPr>
            <w:tcW w:type="dxa" w:w="3850"/>
            <w:tcMar>
              <w:top w:type="dxa" w:w="80"/>
              <w:left w:type="dxa" w:w="100"/>
              <w:bottom w:type="dxa" w:w="80"/>
              <w:right w:type="dxa" w:w="100"/>
            </w:tcMar>
          </w:tcPr>
          <w:p>
            <w:pPr>
              <w:jc w:val="center"/>
            </w:pPr>
            <w:r>
              <w:rPr>
                <w:b w:val="false"/>
                <w:bCs w:val="false"/>
                <w:color w:val="000000"/>
                <w:sz w:val="20"/>
                <w:szCs w:val="20"/>
              </w:rPr>
              <w:t xml:space="preserve">9.60%</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Peer median unlevered beta</w:t>
            </w:r>
          </w:p>
        </w:tc>
        <w:tc>
          <w:tcPr>
            <w:tcW w:type="dxa" w:w="3850"/>
            <w:tcMar>
              <w:top w:type="dxa" w:w="80"/>
              <w:left w:type="dxa" w:w="100"/>
              <w:bottom w:type="dxa" w:w="80"/>
              <w:right w:type="dxa" w:w="100"/>
            </w:tcMar>
          </w:tcPr>
          <w:p>
            <w:pPr>
              <w:jc w:val="center"/>
            </w:pPr>
            <w:r>
              <w:rPr>
                <w:b w:val="false"/>
                <w:bCs w:val="false"/>
                <w:color w:val="000000"/>
                <w:sz w:val="20"/>
                <w:szCs w:val="20"/>
              </w:rPr>
              <w:t xml:space="preserve">0.86</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Re-levered beta (target D/E)</w:t>
            </w:r>
          </w:p>
        </w:tc>
        <w:tc>
          <w:tcPr>
            <w:tcW w:type="dxa" w:w="3850"/>
            <w:tcMar>
              <w:top w:type="dxa" w:w="80"/>
              <w:left w:type="dxa" w:w="100"/>
              <w:bottom w:type="dxa" w:w="80"/>
              <w:right w:type="dxa" w:w="100"/>
            </w:tcMar>
          </w:tcPr>
          <w:p>
            <w:pPr>
              <w:jc w:val="center"/>
            </w:pPr>
            <w:r>
              <w:rPr>
                <w:b w:val="false"/>
                <w:bCs w:val="false"/>
                <w:color w:val="000000"/>
                <w:sz w:val="20"/>
                <w:szCs w:val="20"/>
              </w:rPr>
              <w:t xml:space="preserve">1.10</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Cost of Equity</w:t>
            </w:r>
          </w:p>
        </w:tc>
        <w:tc>
          <w:tcPr>
            <w:tcW w:type="dxa" w:w="3850"/>
            <w:tcMar>
              <w:top w:type="dxa" w:w="80"/>
              <w:left w:type="dxa" w:w="100"/>
              <w:bottom w:type="dxa" w:w="80"/>
              <w:right w:type="dxa" w:w="100"/>
            </w:tcMar>
          </w:tcPr>
          <w:p>
            <w:pPr>
              <w:jc w:val="center"/>
            </w:pPr>
            <w:r>
              <w:rPr>
                <w:b w:val="false"/>
                <w:bCs w:val="false"/>
                <w:color w:val="000000"/>
                <w:sz w:val="20"/>
                <w:szCs w:val="20"/>
              </w:rPr>
              <w:t xml:space="preserve">17.38%</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Pre-tax cost of debt</w:t>
            </w:r>
          </w:p>
        </w:tc>
        <w:tc>
          <w:tcPr>
            <w:tcW w:type="dxa" w:w="3850"/>
            <w:tcMar>
              <w:top w:type="dxa" w:w="80"/>
              <w:left w:type="dxa" w:w="100"/>
              <w:bottom w:type="dxa" w:w="80"/>
              <w:right w:type="dxa" w:w="100"/>
            </w:tcMar>
          </w:tcPr>
          <w:p>
            <w:pPr>
              <w:jc w:val="center"/>
            </w:pPr>
            <w:r>
              <w:rPr>
                <w:b w:val="false"/>
                <w:bCs w:val="false"/>
                <w:color w:val="000000"/>
                <w:sz w:val="20"/>
                <w:szCs w:val="20"/>
              </w:rPr>
              <w:t xml:space="preserve">9.72%</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After-tax cost of debt</w:t>
            </w:r>
          </w:p>
        </w:tc>
        <w:tc>
          <w:tcPr>
            <w:tcW w:type="dxa" w:w="3850"/>
            <w:tcMar>
              <w:top w:type="dxa" w:w="80"/>
              <w:left w:type="dxa" w:w="100"/>
              <w:bottom w:type="dxa" w:w="80"/>
              <w:right w:type="dxa" w:w="100"/>
            </w:tcMar>
          </w:tcPr>
          <w:p>
            <w:pPr>
              <w:jc w:val="center"/>
            </w:pPr>
            <w:r>
              <w:rPr>
                <w:b w:val="false"/>
                <w:bCs w:val="false"/>
                <w:color w:val="000000"/>
                <w:sz w:val="20"/>
                <w:szCs w:val="20"/>
              </w:rPr>
              <w:t xml:space="preserve">6.80%</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Target capital structure (Equity : Debt)</w:t>
            </w:r>
          </w:p>
        </w:tc>
        <w:tc>
          <w:tcPr>
            <w:tcW w:type="dxa" w:w="3850"/>
            <w:tcMar>
              <w:top w:type="dxa" w:w="80"/>
              <w:left w:type="dxa" w:w="100"/>
              <w:bottom w:type="dxa" w:w="80"/>
              <w:right w:type="dxa" w:w="100"/>
            </w:tcMar>
          </w:tcPr>
          <w:p>
            <w:pPr>
              <w:jc w:val="center"/>
            </w:pPr>
            <w:r>
              <w:rPr>
                <w:b w:val="false"/>
                <w:bCs w:val="false"/>
                <w:color w:val="000000"/>
                <w:sz w:val="20"/>
                <w:szCs w:val="20"/>
              </w:rPr>
              <w:t xml:space="preserve">93.5% : 6.5%</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WACC</w:t>
            </w:r>
          </w:p>
        </w:tc>
        <w:tc>
          <w:tcPr>
            <w:tcW w:type="dxa" w:w="3850"/>
            <w:tcMar>
              <w:top w:type="dxa" w:w="80"/>
              <w:left w:type="dxa" w:w="100"/>
              <w:bottom w:type="dxa" w:w="80"/>
              <w:right w:type="dxa" w:w="100"/>
            </w:tcMar>
          </w:tcPr>
          <w:p>
            <w:pPr>
              <w:jc w:val="center"/>
            </w:pPr>
            <w:r>
              <w:rPr>
                <w:b w:val="false"/>
                <w:bCs w:val="false"/>
                <w:color w:val="000000"/>
                <w:sz w:val="20"/>
                <w:szCs w:val="20"/>
              </w:rPr>
              <w:t xml:space="preserve">16.69%</w:t>
            </w:r>
          </w:p>
        </w:tc>
      </w:tr>
    </w:tbl>
    <w:p>
      <w:pPr>
        <w:spacing w:after="60" w:before="120"/>
        <w:jc w:val="center"/>
      </w:pPr>
      <w:r>
        <w:drawing>
          <wp:inline distT="0" distB="0" distL="0" distR="0">
            <wp:extent cx="4572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857625"/>
                    </a:xfrm>
                    <a:prstGeom prst="rect">
                      <a:avLst/>
                    </a:prstGeom>
                  </pic:spPr>
                </pic:pic>
              </a:graphicData>
            </a:graphic>
          </wp:inline>
        </w:drawing>
      </w:r>
    </w:p>
    <w:p>
      <w:pPr>
        <w:spacing w:after="300"/>
        <w:jc w:val="center"/>
      </w:pPr>
      <w:r>
        <w:rPr>
          <w:i/>
          <w:iCs/>
          <w:color w:val="666666"/>
          <w:sz w:val="19"/>
          <w:szCs w:val="19"/>
        </w:rPr>
        <w:t xml:space="preserve">Figure 3 — WACC build-up, peer comparables, cost of equity and cost of debt.</w:t>
      </w:r>
    </w:p>
    <w:p>
      <w:pPr>
        <w:spacing w:after="160" w:line="276"/>
      </w:pPr>
      <w:r>
        <w:rPr>
          <w:sz w:val="22"/>
          <w:szCs w:val="22"/>
        </w:rPr>
        <w:t xml:space="preserve">A WACC of 16.7% is on the higher side for a large, stable consumer company — it is driven mainly by the market's long-run 16.4% average total return (used to derive the 9.6% equity risk premium) and a re-levered beta above 1.0. A reader may want to sanity-check this discount rate against alternative sources (e.g. a Damodaran-style India ERP) as part of due diligence.</w:t>
      </w:r>
    </w:p>
    <w:p>
      <w:pPr>
        <w:pStyle w:val="Heading2"/>
        <w:spacing w:after="120" w:before="240"/>
      </w:pPr>
      <w:r>
        <w:rPr>
          <w:b/>
          <w:bCs/>
          <w:color w:val="1F3864"/>
          <w:sz w:val="24"/>
          <w:szCs w:val="24"/>
        </w:rPr>
        <w:t xml:space="preserve">6. DCF valuation output</w:t>
      </w:r>
    </w:p>
    <w:p>
      <w:pPr>
        <w:spacing w:after="160" w:line="276"/>
      </w:pPr>
      <w:r>
        <w:rPr>
          <w:sz w:val="22"/>
          <w:szCs w:val="22"/>
        </w:rPr>
        <w:t xml:space="preserve">Using FY2026 EBIT of ₹6,129.5 Cr as the base, the model grows EBIT at 23.5% for the explicit forecast period, applies a 25% tax rate and a 45.5% reinvestment rate to derive Free Cash Flow to Firm (FCFF), and discounts each year using the mid-year convention at a 16.69% WACC: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450"/>
        <w:gridCol w:w="1450"/>
        <w:gridCol w:w="1450"/>
        <w:gridCol w:w="1450"/>
        <w:gridCol w:w="1450"/>
      </w:tblGrid>
      <w:tr>
        <w:trPr>
          <w:tblHeader/>
        </w:trPr>
        <w:tc>
          <w:tcPr>
            <w:tcW w:type="dxa" w:w="2100"/>
            <w:shd w:fill="1F3864" w:val="clear"/>
            <w:tcMar>
              <w:top w:type="dxa" w:w="80"/>
              <w:left w:type="dxa" w:w="100"/>
              <w:bottom w:type="dxa" w:w="80"/>
              <w:right w:type="dxa" w:w="100"/>
            </w:tcMar>
          </w:tcPr>
          <w:p>
            <w:pPr>
              <w:jc w:val="left"/>
            </w:pPr>
            <w:r>
              <w:rPr>
                <w:b/>
                <w:bCs/>
                <w:color w:val="FFFFFF"/>
                <w:sz w:val="20"/>
                <w:szCs w:val="20"/>
              </w:rPr>
              <w:t xml:space="preserve"/>
            </w:r>
          </w:p>
        </w:tc>
        <w:tc>
          <w:tcPr>
            <w:tcW w:type="dxa" w:w="1450"/>
            <w:shd w:fill="1F3864" w:val="clear"/>
            <w:tcMar>
              <w:top w:type="dxa" w:w="80"/>
              <w:left w:type="dxa" w:w="100"/>
              <w:bottom w:type="dxa" w:w="80"/>
              <w:right w:type="dxa" w:w="100"/>
            </w:tcMar>
          </w:tcPr>
          <w:p>
            <w:pPr>
              <w:jc w:val="center"/>
            </w:pPr>
            <w:r>
              <w:rPr>
                <w:b/>
                <w:bCs/>
                <w:color w:val="FFFFFF"/>
                <w:sz w:val="20"/>
                <w:szCs w:val="20"/>
              </w:rPr>
              <w:t xml:space="preserve">FY27F</w:t>
            </w:r>
          </w:p>
        </w:tc>
        <w:tc>
          <w:tcPr>
            <w:tcW w:type="dxa" w:w="1450"/>
            <w:shd w:fill="1F3864" w:val="clear"/>
            <w:tcMar>
              <w:top w:type="dxa" w:w="80"/>
              <w:left w:type="dxa" w:w="100"/>
              <w:bottom w:type="dxa" w:w="80"/>
              <w:right w:type="dxa" w:w="100"/>
            </w:tcMar>
          </w:tcPr>
          <w:p>
            <w:pPr>
              <w:jc w:val="center"/>
            </w:pPr>
            <w:r>
              <w:rPr>
                <w:b/>
                <w:bCs/>
                <w:color w:val="FFFFFF"/>
                <w:sz w:val="20"/>
                <w:szCs w:val="20"/>
              </w:rPr>
              <w:t xml:space="preserve">FY28F</w:t>
            </w:r>
          </w:p>
        </w:tc>
        <w:tc>
          <w:tcPr>
            <w:tcW w:type="dxa" w:w="1450"/>
            <w:shd w:fill="1F3864" w:val="clear"/>
            <w:tcMar>
              <w:top w:type="dxa" w:w="80"/>
              <w:left w:type="dxa" w:w="100"/>
              <w:bottom w:type="dxa" w:w="80"/>
              <w:right w:type="dxa" w:w="100"/>
            </w:tcMar>
          </w:tcPr>
          <w:p>
            <w:pPr>
              <w:jc w:val="center"/>
            </w:pPr>
            <w:r>
              <w:rPr>
                <w:b/>
                <w:bCs/>
                <w:color w:val="FFFFFF"/>
                <w:sz w:val="20"/>
                <w:szCs w:val="20"/>
              </w:rPr>
              <w:t xml:space="preserve">FY29F</w:t>
            </w:r>
          </w:p>
        </w:tc>
        <w:tc>
          <w:tcPr>
            <w:tcW w:type="dxa" w:w="1450"/>
            <w:shd w:fill="1F3864" w:val="clear"/>
            <w:tcMar>
              <w:top w:type="dxa" w:w="80"/>
              <w:left w:type="dxa" w:w="100"/>
              <w:bottom w:type="dxa" w:w="80"/>
              <w:right w:type="dxa" w:w="100"/>
            </w:tcMar>
          </w:tcPr>
          <w:p>
            <w:pPr>
              <w:jc w:val="center"/>
            </w:pPr>
            <w:r>
              <w:rPr>
                <w:b/>
                <w:bCs/>
                <w:color w:val="FFFFFF"/>
                <w:sz w:val="20"/>
                <w:szCs w:val="20"/>
              </w:rPr>
              <w:t xml:space="preserve">FY30F</w:t>
            </w:r>
          </w:p>
        </w:tc>
        <w:tc>
          <w:tcPr>
            <w:tcW w:type="dxa" w:w="1450"/>
            <w:shd w:fill="1F3864" w:val="clear"/>
            <w:tcMar>
              <w:top w:type="dxa" w:w="80"/>
              <w:left w:type="dxa" w:w="100"/>
              <w:bottom w:type="dxa" w:w="80"/>
              <w:right w:type="dxa" w:w="100"/>
            </w:tcMar>
          </w:tcPr>
          <w:p>
            <w:pPr>
              <w:jc w:val="center"/>
            </w:pPr>
            <w:r>
              <w:rPr>
                <w:b/>
                <w:bCs/>
                <w:color w:val="FFFFFF"/>
                <w:sz w:val="20"/>
                <w:szCs w:val="20"/>
              </w:rPr>
              <w:t xml:space="preserve">FY31F</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EBIT (₹ Cr)</w:t>
            </w:r>
          </w:p>
        </w:tc>
        <w:tc>
          <w:tcPr>
            <w:tcW w:type="dxa" w:w="1450"/>
            <w:tcMar>
              <w:top w:type="dxa" w:w="80"/>
              <w:left w:type="dxa" w:w="100"/>
              <w:bottom w:type="dxa" w:w="80"/>
              <w:right w:type="dxa" w:w="100"/>
            </w:tcMar>
          </w:tcPr>
          <w:p>
            <w:pPr>
              <w:jc w:val="center"/>
            </w:pPr>
            <w:r>
              <w:rPr>
                <w:b w:val="false"/>
                <w:bCs w:val="false"/>
                <w:color w:val="000000"/>
                <w:sz w:val="20"/>
                <w:szCs w:val="20"/>
              </w:rPr>
              <w:t xml:space="preserve">7,573</w:t>
            </w:r>
          </w:p>
        </w:tc>
        <w:tc>
          <w:tcPr>
            <w:tcW w:type="dxa" w:w="1450"/>
            <w:tcMar>
              <w:top w:type="dxa" w:w="80"/>
              <w:left w:type="dxa" w:w="100"/>
              <w:bottom w:type="dxa" w:w="80"/>
              <w:right w:type="dxa" w:w="100"/>
            </w:tcMar>
          </w:tcPr>
          <w:p>
            <w:pPr>
              <w:jc w:val="center"/>
            </w:pPr>
            <w:r>
              <w:rPr>
                <w:b w:val="false"/>
                <w:bCs w:val="false"/>
                <w:color w:val="000000"/>
                <w:sz w:val="20"/>
                <w:szCs w:val="20"/>
              </w:rPr>
              <w:t xml:space="preserve">9,356</w:t>
            </w:r>
          </w:p>
        </w:tc>
        <w:tc>
          <w:tcPr>
            <w:tcW w:type="dxa" w:w="1450"/>
            <w:tcMar>
              <w:top w:type="dxa" w:w="80"/>
              <w:left w:type="dxa" w:w="100"/>
              <w:bottom w:type="dxa" w:w="80"/>
              <w:right w:type="dxa" w:w="100"/>
            </w:tcMar>
          </w:tcPr>
          <w:p>
            <w:pPr>
              <w:jc w:val="center"/>
            </w:pPr>
            <w:r>
              <w:rPr>
                <w:b w:val="false"/>
                <w:bCs w:val="false"/>
                <w:color w:val="000000"/>
                <w:sz w:val="20"/>
                <w:szCs w:val="20"/>
              </w:rPr>
              <w:t xml:space="preserve">11,558</w:t>
            </w:r>
          </w:p>
        </w:tc>
        <w:tc>
          <w:tcPr>
            <w:tcW w:type="dxa" w:w="1450"/>
            <w:tcMar>
              <w:top w:type="dxa" w:w="80"/>
              <w:left w:type="dxa" w:w="100"/>
              <w:bottom w:type="dxa" w:w="80"/>
              <w:right w:type="dxa" w:w="100"/>
            </w:tcMar>
          </w:tcPr>
          <w:p>
            <w:pPr>
              <w:jc w:val="center"/>
            </w:pPr>
            <w:r>
              <w:rPr>
                <w:b w:val="false"/>
                <w:bCs w:val="false"/>
                <w:color w:val="000000"/>
                <w:sz w:val="20"/>
                <w:szCs w:val="20"/>
              </w:rPr>
              <w:t xml:space="preserve">14,280</w:t>
            </w:r>
          </w:p>
        </w:tc>
        <w:tc>
          <w:tcPr>
            <w:tcW w:type="dxa" w:w="1450"/>
            <w:tcMar>
              <w:top w:type="dxa" w:w="80"/>
              <w:left w:type="dxa" w:w="100"/>
              <w:bottom w:type="dxa" w:w="80"/>
              <w:right w:type="dxa" w:w="100"/>
            </w:tcMar>
          </w:tcPr>
          <w:p>
            <w:pPr>
              <w:jc w:val="center"/>
            </w:pPr>
            <w:r>
              <w:rPr>
                <w:b w:val="false"/>
                <w:bCs w:val="false"/>
                <w:color w:val="000000"/>
                <w:sz w:val="20"/>
                <w:szCs w:val="20"/>
              </w:rPr>
              <w:t xml:space="preserve">17,642</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FCFF (₹ Cr)</w:t>
            </w:r>
          </w:p>
        </w:tc>
        <w:tc>
          <w:tcPr>
            <w:tcW w:type="dxa" w:w="1450"/>
            <w:tcMar>
              <w:top w:type="dxa" w:w="80"/>
              <w:left w:type="dxa" w:w="100"/>
              <w:bottom w:type="dxa" w:w="80"/>
              <w:right w:type="dxa" w:w="100"/>
            </w:tcMar>
          </w:tcPr>
          <w:p>
            <w:pPr>
              <w:jc w:val="center"/>
            </w:pPr>
            <w:r>
              <w:rPr>
                <w:b w:val="false"/>
                <w:bCs w:val="false"/>
                <w:color w:val="000000"/>
                <w:sz w:val="20"/>
                <w:szCs w:val="20"/>
              </w:rPr>
              <w:t xml:space="preserve">3,093</w:t>
            </w:r>
          </w:p>
        </w:tc>
        <w:tc>
          <w:tcPr>
            <w:tcW w:type="dxa" w:w="1450"/>
            <w:tcMar>
              <w:top w:type="dxa" w:w="80"/>
              <w:left w:type="dxa" w:w="100"/>
              <w:bottom w:type="dxa" w:w="80"/>
              <w:right w:type="dxa" w:w="100"/>
            </w:tcMar>
          </w:tcPr>
          <w:p>
            <w:pPr>
              <w:jc w:val="center"/>
            </w:pPr>
            <w:r>
              <w:rPr>
                <w:b w:val="false"/>
                <w:bCs w:val="false"/>
                <w:color w:val="000000"/>
                <w:sz w:val="20"/>
                <w:szCs w:val="20"/>
              </w:rPr>
              <w:t xml:space="preserve">3,821</w:t>
            </w:r>
          </w:p>
        </w:tc>
        <w:tc>
          <w:tcPr>
            <w:tcW w:type="dxa" w:w="1450"/>
            <w:tcMar>
              <w:top w:type="dxa" w:w="80"/>
              <w:left w:type="dxa" w:w="100"/>
              <w:bottom w:type="dxa" w:w="80"/>
              <w:right w:type="dxa" w:w="100"/>
            </w:tcMar>
          </w:tcPr>
          <w:p>
            <w:pPr>
              <w:jc w:val="center"/>
            </w:pPr>
            <w:r>
              <w:rPr>
                <w:b w:val="false"/>
                <w:bCs w:val="false"/>
                <w:color w:val="000000"/>
                <w:sz w:val="20"/>
                <w:szCs w:val="20"/>
              </w:rPr>
              <w:t xml:space="preserve">4,721</w:t>
            </w:r>
          </w:p>
        </w:tc>
        <w:tc>
          <w:tcPr>
            <w:tcW w:type="dxa" w:w="1450"/>
            <w:tcMar>
              <w:top w:type="dxa" w:w="80"/>
              <w:left w:type="dxa" w:w="100"/>
              <w:bottom w:type="dxa" w:w="80"/>
              <w:right w:type="dxa" w:w="100"/>
            </w:tcMar>
          </w:tcPr>
          <w:p>
            <w:pPr>
              <w:jc w:val="center"/>
            </w:pPr>
            <w:r>
              <w:rPr>
                <w:b w:val="false"/>
                <w:bCs w:val="false"/>
                <w:color w:val="000000"/>
                <w:sz w:val="20"/>
                <w:szCs w:val="20"/>
              </w:rPr>
              <w:t xml:space="preserve">5,832</w:t>
            </w:r>
          </w:p>
        </w:tc>
        <w:tc>
          <w:tcPr>
            <w:tcW w:type="dxa" w:w="1450"/>
            <w:tcMar>
              <w:top w:type="dxa" w:w="80"/>
              <w:left w:type="dxa" w:w="100"/>
              <w:bottom w:type="dxa" w:w="80"/>
              <w:right w:type="dxa" w:w="100"/>
            </w:tcMar>
          </w:tcPr>
          <w:p>
            <w:pPr>
              <w:jc w:val="center"/>
            </w:pPr>
            <w:r>
              <w:rPr>
                <w:b w:val="false"/>
                <w:bCs w:val="false"/>
                <w:color w:val="000000"/>
                <w:sz w:val="20"/>
                <w:szCs w:val="20"/>
              </w:rPr>
              <w:t xml:space="preserve">7,206</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PV of FCFF (₹ Cr)</w:t>
            </w:r>
          </w:p>
        </w:tc>
        <w:tc>
          <w:tcPr>
            <w:tcW w:type="dxa" w:w="1450"/>
            <w:tcMar>
              <w:top w:type="dxa" w:w="80"/>
              <w:left w:type="dxa" w:w="100"/>
              <w:bottom w:type="dxa" w:w="80"/>
              <w:right w:type="dxa" w:w="100"/>
            </w:tcMar>
          </w:tcPr>
          <w:p>
            <w:pPr>
              <w:jc w:val="center"/>
            </w:pPr>
            <w:r>
              <w:rPr>
                <w:b w:val="false"/>
                <w:bCs w:val="false"/>
                <w:color w:val="000000"/>
                <w:sz w:val="20"/>
                <w:szCs w:val="20"/>
              </w:rPr>
              <w:t xml:space="preserve">2,863</w:t>
            </w:r>
          </w:p>
        </w:tc>
        <w:tc>
          <w:tcPr>
            <w:tcW w:type="dxa" w:w="1450"/>
            <w:tcMar>
              <w:top w:type="dxa" w:w="80"/>
              <w:left w:type="dxa" w:w="100"/>
              <w:bottom w:type="dxa" w:w="80"/>
              <w:right w:type="dxa" w:w="100"/>
            </w:tcMar>
          </w:tcPr>
          <w:p>
            <w:pPr>
              <w:jc w:val="center"/>
            </w:pPr>
            <w:r>
              <w:rPr>
                <w:b w:val="false"/>
                <w:bCs w:val="false"/>
                <w:color w:val="000000"/>
                <w:sz w:val="20"/>
                <w:szCs w:val="20"/>
              </w:rPr>
              <w:t xml:space="preserve">3,031</w:t>
            </w:r>
          </w:p>
        </w:tc>
        <w:tc>
          <w:tcPr>
            <w:tcW w:type="dxa" w:w="1450"/>
            <w:tcMar>
              <w:top w:type="dxa" w:w="80"/>
              <w:left w:type="dxa" w:w="100"/>
              <w:bottom w:type="dxa" w:w="80"/>
              <w:right w:type="dxa" w:w="100"/>
            </w:tcMar>
          </w:tcPr>
          <w:p>
            <w:pPr>
              <w:jc w:val="center"/>
            </w:pPr>
            <w:r>
              <w:rPr>
                <w:b w:val="false"/>
                <w:bCs w:val="false"/>
                <w:color w:val="000000"/>
                <w:sz w:val="20"/>
                <w:szCs w:val="20"/>
              </w:rPr>
              <w:t xml:space="preserve">3,209</w:t>
            </w:r>
          </w:p>
        </w:tc>
        <w:tc>
          <w:tcPr>
            <w:tcW w:type="dxa" w:w="1450"/>
            <w:tcMar>
              <w:top w:type="dxa" w:w="80"/>
              <w:left w:type="dxa" w:w="100"/>
              <w:bottom w:type="dxa" w:w="80"/>
              <w:right w:type="dxa" w:w="100"/>
            </w:tcMar>
          </w:tcPr>
          <w:p>
            <w:pPr>
              <w:jc w:val="center"/>
            </w:pPr>
            <w:r>
              <w:rPr>
                <w:b w:val="false"/>
                <w:bCs w:val="false"/>
                <w:color w:val="000000"/>
                <w:sz w:val="20"/>
                <w:szCs w:val="20"/>
              </w:rPr>
              <w:t xml:space="preserve">3,398</w:t>
            </w:r>
          </w:p>
        </w:tc>
        <w:tc>
          <w:tcPr>
            <w:tcW w:type="dxa" w:w="1450"/>
            <w:tcMar>
              <w:top w:type="dxa" w:w="80"/>
              <w:left w:type="dxa" w:w="100"/>
              <w:bottom w:type="dxa" w:w="80"/>
              <w:right w:type="dxa" w:w="100"/>
            </w:tcMar>
          </w:tcPr>
          <w:p>
            <w:pPr>
              <w:jc w:val="center"/>
            </w:pPr>
            <w:r>
              <w:rPr>
                <w:b w:val="false"/>
                <w:bCs w:val="false"/>
                <w:color w:val="000000"/>
                <w:sz w:val="20"/>
                <w:szCs w:val="20"/>
              </w:rPr>
              <w:t xml:space="preserve">3,597</w:t>
            </w:r>
          </w:p>
        </w:tc>
      </w:tr>
    </w:tbl>
    <w:p>
      <w:pPr>
        <w:spacing w:after="160" w:line="276"/>
      </w:pPr>
      <w:r>
        <w:rPr>
          <w:sz w:val="22"/>
          <w:szCs w:val="22"/>
        </w:rPr>
        <w:t xml:space="preserve">Terminal value is calculated on FY2032 FCFF (₹8,902 Cr) using a 5.38% terminal growth rate (a proxy for long-term nominal GDP growth), giving a Terminal Value of ₹78,689 Cr, which discounts back to a present value of ₹39,283 Cr.</w:t>
      </w:r>
    </w:p>
    <w:p>
      <w:pPr>
        <w:spacing w:after="60" w:before="120"/>
        <w:jc w:val="center"/>
      </w:pPr>
      <w:r>
        <w:drawing>
          <wp:inline distT="0" distB="0" distL="0" distR="0">
            <wp:extent cx="43815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819650"/>
                    </a:xfrm>
                    <a:prstGeom prst="rect">
                      <a:avLst/>
                    </a:prstGeom>
                  </pic:spPr>
                </pic:pic>
              </a:graphicData>
            </a:graphic>
          </wp:inline>
        </w:drawing>
      </w:r>
    </w:p>
    <w:p>
      <w:pPr>
        <w:spacing w:after="300"/>
        <w:jc w:val="center"/>
      </w:pPr>
      <w:r>
        <w:rPr>
          <w:i/>
          <w:iCs/>
          <w:color w:val="666666"/>
          <w:sz w:val="19"/>
          <w:szCs w:val="19"/>
        </w:rPr>
        <w:t xml:space="preserve">Figure 4 — DCF build: FCFF forecast, terminal value, and equity value per share.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c>
          <w:tcPr>
            <w:tcW w:type="dxa" w:w="5500"/>
            <w:tcMar>
              <w:top w:type="dxa" w:w="80"/>
              <w:left w:type="dxa" w:w="100"/>
              <w:bottom w:type="dxa" w:w="80"/>
              <w:right w:type="dxa" w:w="100"/>
            </w:tcMar>
          </w:tcPr>
          <w:p>
            <w:pPr>
              <w:jc w:val="left"/>
            </w:pPr>
            <w:r>
              <w:rPr>
                <w:b w:val="false"/>
                <w:bCs w:val="false"/>
                <w:color w:val="000000"/>
                <w:sz w:val="20"/>
                <w:szCs w:val="20"/>
              </w:rPr>
              <w:t xml:space="preserve">Value of Operating Assets</w:t>
            </w:r>
          </w:p>
        </w:tc>
        <w:tc>
          <w:tcPr>
            <w:tcW w:type="dxa" w:w="3850"/>
            <w:tcMar>
              <w:top w:type="dxa" w:w="80"/>
              <w:left w:type="dxa" w:w="100"/>
              <w:bottom w:type="dxa" w:w="80"/>
              <w:right w:type="dxa" w:w="100"/>
            </w:tcMar>
          </w:tcPr>
          <w:p>
            <w:pPr>
              <w:jc w:val="center"/>
            </w:pPr>
            <w:r>
              <w:rPr>
                <w:b w:val="false"/>
                <w:bCs w:val="false"/>
                <w:color w:val="000000"/>
                <w:sz w:val="20"/>
                <w:szCs w:val="20"/>
              </w:rPr>
              <w:t xml:space="preserve">₹42,881 Cr</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Add: Cash</w:t>
            </w:r>
          </w:p>
        </w:tc>
        <w:tc>
          <w:tcPr>
            <w:tcW w:type="dxa" w:w="3850"/>
            <w:tcMar>
              <w:top w:type="dxa" w:w="80"/>
              <w:left w:type="dxa" w:w="100"/>
              <w:bottom w:type="dxa" w:w="80"/>
              <w:right w:type="dxa" w:w="100"/>
            </w:tcMar>
          </w:tcPr>
          <w:p>
            <w:pPr>
              <w:jc w:val="center"/>
            </w:pPr>
            <w:r>
              <w:rPr>
                <w:b w:val="false"/>
                <w:bCs w:val="false"/>
                <w:color w:val="000000"/>
                <w:sz w:val="20"/>
                <w:szCs w:val="20"/>
              </w:rPr>
              <w:t xml:space="preserve">₹1,074 Cr</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Less: Debt</w:t>
            </w:r>
          </w:p>
        </w:tc>
        <w:tc>
          <w:tcPr>
            <w:tcW w:type="dxa" w:w="3850"/>
            <w:tcMar>
              <w:top w:type="dxa" w:w="80"/>
              <w:left w:type="dxa" w:w="100"/>
              <w:bottom w:type="dxa" w:w="80"/>
              <w:right w:type="dxa" w:w="100"/>
            </w:tcMar>
          </w:tcPr>
          <w:p>
            <w:pPr>
              <w:jc w:val="center"/>
            </w:pPr>
            <w:r>
              <w:rPr>
                <w:b w:val="false"/>
                <w:bCs w:val="false"/>
                <w:color w:val="000000"/>
                <w:sz w:val="20"/>
                <w:szCs w:val="20"/>
              </w:rPr>
              <w:t xml:space="preserve">₹2,293 Cr</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Value of Equity</w:t>
            </w:r>
          </w:p>
        </w:tc>
        <w:tc>
          <w:tcPr>
            <w:tcW w:type="dxa" w:w="3850"/>
            <w:tcMar>
              <w:top w:type="dxa" w:w="80"/>
              <w:left w:type="dxa" w:w="100"/>
              <w:bottom w:type="dxa" w:w="80"/>
              <w:right w:type="dxa" w:w="100"/>
            </w:tcMar>
          </w:tcPr>
          <w:p>
            <w:pPr>
              <w:jc w:val="center"/>
            </w:pPr>
            <w:r>
              <w:rPr>
                <w:b w:val="false"/>
                <w:bCs w:val="false"/>
                <w:color w:val="000000"/>
                <w:sz w:val="20"/>
                <w:szCs w:val="20"/>
              </w:rPr>
              <w:t xml:space="preserve">₹41,661 Cr</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Shares Outstanding</w:t>
            </w:r>
          </w:p>
        </w:tc>
        <w:tc>
          <w:tcPr>
            <w:tcW w:type="dxa" w:w="3850"/>
            <w:tcMar>
              <w:top w:type="dxa" w:w="80"/>
              <w:left w:type="dxa" w:w="100"/>
              <w:bottom w:type="dxa" w:w="80"/>
              <w:right w:type="dxa" w:w="100"/>
            </w:tcMar>
          </w:tcPr>
          <w:p>
            <w:pPr>
              <w:jc w:val="center"/>
            </w:pPr>
            <w:r>
              <w:rPr>
                <w:b w:val="false"/>
                <w:bCs w:val="false"/>
                <w:color w:val="000000"/>
                <w:sz w:val="20"/>
                <w:szCs w:val="20"/>
              </w:rPr>
              <w:t xml:space="preserve">96.34 Cr</w:t>
            </w:r>
          </w:p>
        </w:tc>
      </w:tr>
      <w:tr>
        <w:tc>
          <w:tcPr>
            <w:tcW w:type="dxa" w:w="5500"/>
            <w:shd w:fill="DCE6F1" w:val="clear"/>
            <w:tcMar>
              <w:top w:type="dxa" w:w="80"/>
              <w:left w:type="dxa" w:w="100"/>
              <w:bottom w:type="dxa" w:w="80"/>
              <w:right w:type="dxa" w:w="100"/>
            </w:tcMar>
          </w:tcPr>
          <w:p>
            <w:r>
              <w:rPr>
                <w:b/>
                <w:bCs/>
                <w:sz w:val="20"/>
                <w:szCs w:val="20"/>
              </w:rPr>
              <w:t xml:space="preserve">Intrinsic Equity Value per Share</w:t>
            </w:r>
          </w:p>
        </w:tc>
        <w:tc>
          <w:tcPr>
            <w:tcW w:type="dxa" w:w="3850"/>
            <w:shd w:fill="DCE6F1" w:val="clear"/>
            <w:tcMar>
              <w:top w:type="dxa" w:w="80"/>
              <w:left w:type="dxa" w:w="100"/>
              <w:bottom w:type="dxa" w:w="80"/>
              <w:right w:type="dxa" w:w="100"/>
            </w:tcMar>
          </w:tcPr>
          <w:p>
            <w:pPr>
              <w:jc w:val="center"/>
            </w:pPr>
            <w:r>
              <w:rPr>
                <w:b/>
                <w:bCs/>
                <w:sz w:val="20"/>
                <w:szCs w:val="20"/>
              </w:rPr>
              <w:t xml:space="preserve">₹432.42</w:t>
            </w:r>
          </w:p>
        </w:tc>
      </w:tr>
      <w:tr>
        <w:tc>
          <w:tcPr>
            <w:tcW w:type="dxa" w:w="5500"/>
            <w:tcMar>
              <w:top w:type="dxa" w:w="80"/>
              <w:left w:type="dxa" w:w="100"/>
              <w:bottom w:type="dxa" w:w="80"/>
              <w:right w:type="dxa" w:w="100"/>
            </w:tcMar>
          </w:tcPr>
          <w:p>
            <w:pPr>
              <w:jc w:val="left"/>
            </w:pPr>
            <w:r>
              <w:rPr>
                <w:b w:val="false"/>
                <w:bCs w:val="false"/>
                <w:color w:val="000000"/>
                <w:sz w:val="20"/>
                <w:szCs w:val="20"/>
              </w:rPr>
              <w:t xml:space="preserve">Current Market Price (as of model date)</w:t>
            </w:r>
          </w:p>
        </w:tc>
        <w:tc>
          <w:tcPr>
            <w:tcW w:type="dxa" w:w="3850"/>
            <w:tcMar>
              <w:top w:type="dxa" w:w="80"/>
              <w:left w:type="dxa" w:w="100"/>
              <w:bottom w:type="dxa" w:w="80"/>
              <w:right w:type="dxa" w:w="100"/>
            </w:tcMar>
          </w:tcPr>
          <w:p>
            <w:pPr>
              <w:jc w:val="center"/>
            </w:pPr>
            <w:r>
              <w:rPr>
                <w:b w:val="false"/>
                <w:bCs w:val="false"/>
                <w:color w:val="000000"/>
                <w:sz w:val="20"/>
                <w:szCs w:val="20"/>
              </w:rPr>
              <w:t xml:space="preserve">₹2,839</w:t>
            </w:r>
          </w:p>
        </w:tc>
      </w:tr>
    </w:tbl>
    <w:p>
      <w:pPr>
        <w:spacing w:after="200" w:before="200"/>
      </w:pPr>
    </w:p>
    <w:p>
      <w:pPr>
        <w:pStyle w:val="Heading2"/>
        <w:spacing w:after="120" w:before="240"/>
      </w:pPr>
      <w:r>
        <w:rPr>
          <w:b/>
          <w:bCs/>
          <w:color w:val="1F3864"/>
          <w:sz w:val="24"/>
          <w:szCs w:val="24"/>
        </w:rPr>
        <w:t xml:space="preserve">7. Valuation outcome</w:t>
      </w:r>
    </w:p>
    <w:p>
      <w:pPr>
        <w:spacing w:after="160" w:line="276"/>
      </w:pPr>
      <w:r>
        <w:rPr>
          <w:sz w:val="22"/>
          <w:szCs w:val="22"/>
        </w:rPr>
        <w:t xml:space="preserve">On the model's own inputs, the DCF implies an intrinsic value of ₹432 per share, against a current market price of ₹2,839 — the model's output cell labels this gap as a 'Discount/Premium' of 6.57x, meaning the market price is about 6.6 times the DCF value. In plain terms: if this model's assumptions hold, Asian Paints' stock looks materially expensive relative to its fundamentals.</w:t>
      </w:r>
    </w:p>
    <w:p>
      <w:pPr>
        <w:spacing w:after="160" w:line="276"/>
      </w:pPr>
      <w:r>
        <w:rPr>
          <w:sz w:val="22"/>
          <w:szCs w:val="22"/>
        </w:rPr>
        <w:t xml:space="preserve">That said, a gap of this size is unusually large even for a conservative DCF, and is worth treating as a signal to double-check assumptions rather than a final verdict — see the caveats below.</w:t>
      </w:r>
    </w:p>
    <w:p>
      <w:pPr>
        <w:pStyle w:val="Heading2"/>
        <w:spacing w:after="120" w:before="240"/>
      </w:pPr>
      <w:r>
        <w:rPr>
          <w:b/>
          <w:bCs/>
          <w:color w:val="1F3864"/>
          <w:sz w:val="24"/>
          <w:szCs w:val="24"/>
        </w:rPr>
        <w:t xml:space="preserve">8. Observations and points worth double-checking</w:t>
      </w:r>
    </w:p>
    <w:p>
      <w:pPr>
        <w:pStyle w:val="ListParagraph"/>
        <w:numPr>
          <w:ilvl w:val="0"/>
          <w:numId w:val="1"/>
        </w:numPr>
        <w:spacing w:after="80"/>
      </w:pPr>
      <w:r>
        <w:rPr>
          <w:sz w:val="22"/>
          <w:szCs w:val="22"/>
        </w:rPr>
        <w:t xml:space="preserve">Sum of explicit-period cash flows: The 'PV of FCFF' figure feeding the equity bridge (₹3,597 Cr) picks up only the final forecast year's discounted cash flow, not the sum of all five years (₹2,863 + ₹3,031 + ₹3,209 + ₹3,398 + ₹3,597 = ₹16,099 Cr). Correcting this would raise the intrinsic value per share to roughly ₹560–₹565 — directionally similar, but worth fixing for accuracy.</w:t>
      </w:r>
    </w:p>
    <w:p>
      <w:pPr>
        <w:pStyle w:val="ListParagraph"/>
        <w:numPr>
          <w:ilvl w:val="0"/>
          <w:numId w:val="1"/>
        </w:numPr>
        <w:spacing w:after="80"/>
      </w:pPr>
      <w:r>
        <w:rPr>
          <w:sz w:val="22"/>
          <w:szCs w:val="22"/>
        </w:rPr>
        <w:t xml:space="preserve">Even after that correction, the DCF value remains well below the market price (about 5x), so the core conclusion — that the market is pricing in materially higher growth and/or a lower discount rate than this model assumes — does not change.</w:t>
      </w:r>
    </w:p>
    <w:p>
      <w:pPr>
        <w:pStyle w:val="ListParagraph"/>
        <w:numPr>
          <w:ilvl w:val="0"/>
          <w:numId w:val="1"/>
        </w:numPr>
        <w:spacing w:after="80"/>
      </w:pPr>
      <w:r>
        <w:rPr>
          <w:sz w:val="22"/>
          <w:szCs w:val="22"/>
        </w:rPr>
        <w:t xml:space="preserve">High near-term growth rate: the 23.5% 'Expected Growth' figure is a historical 5-year median and is materially higher than Asian Paints' recent actual sales growth (2.9% in FY2024, -4.5% in FY2025). A reader may want to test a lower, more conservative near-term growth assumption.</w:t>
      </w:r>
    </w:p>
    <w:p>
      <w:pPr>
        <w:pStyle w:val="ListParagraph"/>
        <w:numPr>
          <w:ilvl w:val="0"/>
          <w:numId w:val="1"/>
        </w:numPr>
        <w:spacing w:after="80"/>
      </w:pPr>
      <w:r>
        <w:rPr>
          <w:sz w:val="22"/>
          <w:szCs w:val="22"/>
        </w:rPr>
        <w:t xml:space="preserve">WACC sensitivity: because the terminal value is ~92% of total enterprise value, the valuation is highly sensitive to small changes in WACC and terminal growth — the built-in sensitivity table in the DCF tab is a good starting point for stress-testing this.</w:t>
      </w:r>
    </w:p>
    <w:p>
      <w:pPr>
        <w:pStyle w:val="ListParagraph"/>
        <w:numPr>
          <w:ilvl w:val="0"/>
          <w:numId w:val="1"/>
        </w:numPr>
        <w:spacing w:after="80"/>
      </w:pPr>
      <w:r>
        <w:rPr>
          <w:sz w:val="22"/>
          <w:szCs w:val="22"/>
        </w:rPr>
        <w:t xml:space="preserve">The model uses a single-stage high growth rate for all 5 forecast years rather than fading growth down towards the terminal rate, which tends to inflate FCFF in the later forecast years.</w:t>
      </w:r>
    </w:p>
    <w:p>
      <w:pPr>
        <w:pStyle w:val="Heading2"/>
        <w:spacing w:after="120" w:before="240"/>
      </w:pPr>
      <w:r>
        <w:rPr>
          <w:b/>
          <w:bCs/>
          <w:color w:val="1F3864"/>
          <w:sz w:val="24"/>
          <w:szCs w:val="24"/>
        </w:rPr>
        <w:t xml:space="preserve">9. Conclusion</w:t>
      </w:r>
    </w:p>
    <w:p>
      <w:pPr>
        <w:spacing w:after="160" w:line="276"/>
      </w:pPr>
      <w:r>
        <w:rPr>
          <w:sz w:val="22"/>
          <w:szCs w:val="22"/>
        </w:rPr>
        <w:t xml:space="preserve">This DCF model provides a fundamentals-driven, bottom-up estimate of Asian Paints' intrinsic value using a peer-based WACC and a ROIC-driven growth framework. Under the model's current assumptions, the stock appears significantly overvalued relative to its discounted cash flows. However, given the sensitivity of DCF outputs to growth and discount rate assumptions — and the technical note on the FCFF summation above — this should be read as one data point for further research, not a standalone investment recommendation. Readers are encouraged to open the accompanying Excel model and stress-test the key assumptions (growth rate, WACC, and terminal growth) for themselves.</w:t>
      </w:r>
    </w:p>
    <w:p>
      <w:pPr>
        <w:spacing w:after="160" w:line="276"/>
      </w:pPr>
      <w:r>
        <w:rPr>
          <w:i/>
          <w:iCs/>
          <w:color w:val="666666"/>
          <w:sz w:val="18"/>
          <w:szCs w:val="18"/>
        </w:rPr>
        <w:t xml:space="preserve">Disclaimer: This report and the accompanying Excel model are for educational and informational purposes only. They do not constitute investment advice, and all figures are sourced from historical company filings and the model builder's own assumptions. Please do independent research or consult a licensed financial advisor before making any investment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Asian Paints Ltd — DCF 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62dc7e692e7238caec755a32b2f69dbabfaffd.png"/><Relationship Id="rId10" Type="http://schemas.openxmlformats.org/officeDocument/2006/relationships/image" Target="media/9faee3a1ce2ccd3a462bd411777a685d2cdb23cd.png"/><Relationship Id="rId11" Type="http://schemas.openxmlformats.org/officeDocument/2006/relationships/image" Target="media/30881c9e8b75007aca9461e712b3dfd6148b1ff5.png"/><Relationship Id="rId12" Type="http://schemas.openxmlformats.org/officeDocument/2006/relationships/image" Target="media/88f5c2450f00ef957cf9cc867e33393f174173e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2026-08-27T19:14:43.657Z</dcterms:created>
  <dcterms:modified xsi:type="dcterms:W3CDTF">2026-08-27T19:14:43.670Z</dcterms:modified>
</cp:coreProperties>
</file>

<file path=docProps/custom.xml><?xml version="1.0" encoding="utf-8"?>
<Properties xmlns="http://schemas.openxmlformats.org/officeDocument/2006/custom-properties" xmlns:vt="http://schemas.openxmlformats.org/officeDocument/2006/docPropsVTypes"/>
</file>