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ITC Ltd.</w:t>
      </w:r>
    </w:p>
    <w:p>
      <w:pPr>
        <w:spacing w:after="300"/>
      </w:pPr>
      <w:r>
        <w:rPr>
          <w:color w:val="666666"/>
          <w:sz w:val="26"/>
          <w:szCs w:val="26"/>
        </w:rPr>
        <w:t xml:space="preserve">Historical Financial Statements &amp; Ratio Analysis, FY2017–FY2026</w:t>
      </w:r>
    </w:p>
    <w:p>
      <w:pPr>
        <w:pBdr>
          <w:bottom w:val="single" w:color="1F3864" w:sz="6" w:space="1"/>
        </w:pBdr>
        <w:spacing w:after="400"/>
      </w:pPr>
      <w:r>
        <w:rPr>
          <w:i/>
          <w:iCs/>
          <w:color w:val="666666"/>
          <w:sz w:val="18"/>
          <w:szCs w:val="18"/>
        </w:rPr>
        <w:t xml:space="preserve">Prepared as part of Project: Historical FS — ITC   |   10-year history + LTM + FY27–FY31 forecast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300"/>
      </w:pPr>
      <w:r>
        <w:rPr>
          <w:sz w:val="22"/>
          <w:szCs w:val="22"/>
        </w:rPr>
        <w:t xml:space="preserve">This report summarises a 10-year historical financial model built for ITC Ltd., one of India's largest diversified conglomerates (FMCG, hotels, paperboards, agri-business, and IT). The model restates ITC's reported financials into a clean, formula-linked set of statements, adds common-size and ratio analysis, and layers on a simple trendline forecast through FY2031.</w:t>
      </w:r>
    </w:p>
    <w:p>
      <w:pPr>
        <w:spacing w:after="160" w:line="300"/>
      </w:pPr>
      <w:r>
        <w:rPr>
          <w:sz w:val="22"/>
          <w:szCs w:val="22"/>
        </w:rPr>
        <w:t xml:space="preserve">As with the underlying workbook, all figures are in ₹ Crore unless otherwise noted (per-share figures in ₹). The reporting period runs FY2017 (year ended 31 March 2017) through FY2026, plus a trailing-twelve-month (LTM) column and the ten most recent quarters.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What's in the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Historical FS — full Income Statement, Balance Sheet, and Cash Flow Statement for FY2017–FY2026 and LTM, with a built-in balance-sheet check (confirmed TRUE for every year — Assets = Liabilities + Equity).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Common Size Statement — every income statement line as a % of Sales, every balance sheet line as a % of Total Assets, for quick year-on-year cost-structure comparison.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Ratio Analysis — growth rates, margins, returns (ROE, ROCE), working-capital turnover and days, and cash-flow coverage ratios, each with a 10-year mean and median.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Forecasting — Sales, EBITDA, and EPS projected FY2027–FY2031 using Excel's FORECAST() function — a linear trendline regression fit to the 10 years of historical data, not a bottom-up business forecast.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 Sheet — the raw source data (annual and quarterly P&amp;L, balance sheet, cash flow, share price) that every other tab pulls from. Marked "please do not make any changes" in the original file — this is the single source of truth.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Income Statement Trend</w:t>
      </w:r>
    </w:p>
    <w:p>
      <w:pPr>
        <w:spacing w:after="160" w:line="300"/>
      </w:pPr>
      <w:r>
        <w:rPr>
          <w:sz w:val="22"/>
          <w:szCs w:val="22"/>
        </w:rPr>
        <w:t xml:space="preserve">Revenue, profitability, and per-share earnings all grew steadily over the decade, with a dip in FY2021 (COVID-affected year) and a strong rebound in FY2022–FY2023: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FY17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FY23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FY26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10-yr CAGR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42,768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49,388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70,919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78,868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~7.0%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15,470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19,344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25,704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27,306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~6.5%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EBIT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14,317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17,699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23,895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25,595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~6.6%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8,719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13,175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17,379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18,495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~8.7%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EPS (₹)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10.72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13.98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~8.4%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sz w:val="22"/>
          <w:szCs w:val="22"/>
        </w:rPr>
        <w:t xml:space="preserve">Sales grew from ₹42,768 Cr in FY17 to ₹78,868 Cr in FY26 — roughly a 7% compound annual growth rate. Net Profit grew faster, at roughly 8.7% CAGR, reflecting some margin expansion and operating leverage over the period. EPS nearly doubled, aided modestly by a small increase in share count (from ~1,215 Cr to ~1,253 Cr shares over the decade).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Margin Trend</w:t>
      </w:r>
    </w:p>
    <w:p>
      <w:pPr>
        <w:spacing w:after="160" w:line="300"/>
      </w:pPr>
      <w:r>
        <w:rPr>
          <w:sz w:val="22"/>
          <w:szCs w:val="22"/>
        </w:rPr>
        <w:t xml:space="preserve">Margins have been broadly stable, with EBITDA margin oscillating in a 34%–39% band and net margin in a 20%–27% band across the decade: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FY17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FY23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FY26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10-yr Mean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45.7%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47.2%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34.6%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36.3%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EBIT Margin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33.5%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32.5%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33.6%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Profit Margin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20.4%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23.5%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23.2%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sz w:val="22"/>
          <w:szCs w:val="22"/>
        </w:rPr>
        <w:t xml:space="preserve">Gross and EBITDA margins peaked around FY2020 and have eased modestly since, consistent with rising raw material costs (raw material cost as a % of sales rose from ~36% in FY17 to ~44–45% in FY25–26 per the common-size statement).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Balance Sheet &amp; Returns</w:t>
      </w:r>
    </w:p>
    <w:p>
      <w:pPr>
        <w:spacing w:after="160" w:line="300"/>
      </w:pPr>
      <w:r>
        <w:rPr>
          <w:sz w:val="22"/>
          <w:szCs w:val="22"/>
        </w:rPr>
        <w:t xml:space="preserve">ITC's balance sheet is notably conservative — the company carries almost no debt, and what borrowings exist are small relative to its asset base: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FY17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FY23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Assets (₹ Cr)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55,898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77,311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85,831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93,637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Borrowings (₹ Cr)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45.7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277.5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306.0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2,399.1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Cash &amp; Bank (₹ Cr)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2,967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7,277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4,880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3,009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Return on Equity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18.8%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20.2%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25.1%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Return on Capital Employed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34.4%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Interest Coverage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292x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217x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307x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301x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sz w:val="22"/>
          <w:szCs w:val="22"/>
        </w:rPr>
        <w:t xml:space="preserve">Interest coverage has stayed above 200x throughout the decade — Interest expense is a rounding error next to EBIT. Return on Equity improved from ~19% to ~25–26% over the period, and Return on Capital Employed has generally trended up, both pointing to efficient, high-return capital use even as the balance sheet has grown. Borrowings did jump from ₹303 Cr (FY25) to ₹2,399 Cr (FY26) — still trivial relative to Total Assets (~2.6%), but worth watching if the trend continues.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6. Working Capital &amp; Cash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Conversion Cycle has ranged roughly 43–90 days across the decade, with FY2026 at the high end (~90 days) — driven mainly by rising Inventory Days (from ~135 days in FY17 to ~159 days in FY26).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from Operating Activities has grown from ₹10,627 Cr (FY17) to ₹18,464 Cr (FY26), consistently the primary source of cash.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from Financing Activities has been consistently negative (₹(16,147) Cr in FY26) — almost entirely dividend payouts, consistent with ITC's high dividend payout ratio (mostly 95–125% of earnings across the period, reflecting its status as a mature, cash-generative business returning capital to shareholders).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7. Forecast (FY2027–FY2031)</w:t>
      </w:r>
    </w:p>
    <w:p>
      <w:pPr>
        <w:spacing w:after="160" w:line="300"/>
      </w:pPr>
      <w:r>
        <w:rPr>
          <w:sz w:val="22"/>
          <w:szCs w:val="22"/>
        </w:rPr>
        <w:t xml:space="preserve">The Forecasting tab projects Sales, EBITDA, and EPS forward using a linear trendline regression (Excel's FORECAST() function) fitted to the 10 years of historical actuals — not a bottom-up, assumption-driven forecast. It's best read as "what a straight-line continuation of the last decade's trend looks like," not a business plan: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1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FY26 (Actual)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FY27F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FY29F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FY31F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(₹ Cr)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78,868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82,755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91,506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100,257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EBITDA (₹ Cr)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27,306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36,299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40,492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44,685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EPS (₹)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16.04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17.86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19.67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sz w:val="22"/>
          <w:szCs w:val="22"/>
        </w:rPr>
        <w:t xml:space="preserve">On this basis, Sales are projected to reach roughly ₹100,257 Cr and EPS roughly ₹19.67 by FY2031 — both implying continued growth at a pace similar to the historical average (~5% per year in the later forecast years, tapering slightly as the trendline flattens).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8. A Data Note Worth Flagging</w:t>
      </w:r>
    </w:p>
    <w:p>
      <w:pPr>
        <w:spacing w:after="160" w:line="300"/>
      </w:pPr>
      <w:r>
        <w:rPr>
          <w:sz w:val="22"/>
          <w:szCs w:val="22"/>
        </w:rPr>
        <w:t xml:space="preserve">The model carries two different "Net Profit" figures for FY2025 that don't match, and it's worth understanding why before using either in isolation: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Historical FS tab shows FY2025 Net Profit of ₹17,250 Cr (net margin 22.9%) — in line with the surrounding years.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Data Sheet / Common Size tabs show FY2025 Net Profit of ₹34,747 Cr (common-size net margin spikes to 46.1%), driven by an Other Income line of ₹17,803 Cr that year — many multiples of the ₹2,000–3,300 Cr Other Income seen in every other year.</w:t>
      </w:r>
    </w:p>
    <w:p>
      <w:pPr>
        <w:spacing w:after="160" w:line="300"/>
      </w:pPr>
      <w:r>
        <w:rPr>
          <w:sz w:val="22"/>
          <w:szCs w:val="22"/>
        </w:rPr>
        <w:t xml:space="preserve">This gap is almost certainly a one-off/exceptional gain flowing through Other Income in FY2025 (ITC completed a large corporate restructuring — the demerger of its Hotels business — around this time, which is a plausible source of such a gain, though this hasn't been independently verified against ITC's FY2025 annual report). Whichever Net Profit figure is used downstream, it should be used consistently — mixing the two across different ratios will distort year-on-year comparisons. Recommend reconciling the two before relying on FY2025 profitability figures for valuation work.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9. Files in This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ITC_Historical_Financial_Statements.xlsx — the live, formula-driven Excel model (5 tabs: Historical FS, Common Size Statement, Ratio Analysis, Forecasting, Data Sheet).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README.md — repo overview and instructions for using/updating the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report (Report.docx) — narrative summary of the numbers, trends, and the FY2025 data caveat above.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Appendix A — Historical Financial Statements</w:t>
      </w:r>
    </w:p>
    <w:p>
      <w:pPr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Income Statement, Balance Sheet, and Cash Flow — FY2017–FY2026 + LTM.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Appendix B — Common Size Statement</w:t>
      </w:r>
    </w:p>
    <w:p>
      <w:pPr>
        <w:jc w:val="center"/>
      </w:pPr>
      <w:r>
        <w:drawing>
          <wp:inline distT="0" distB="0" distL="0" distR="0">
            <wp:extent cx="5524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Income Statement and Balance Sheet, every line as a % of Sales / Total Assets.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Appendix C — Ratio Analysis</w:t>
      </w:r>
    </w:p>
    <w:p>
      <w:pPr>
        <w:jc w:val="center"/>
      </w:pPr>
      <w:r>
        <w:drawing>
          <wp:inline distT="0" distB="0" distL="0" distR="0">
            <wp:extent cx="56197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Growth, margin, returns, turnover, working-capital, and cash-flow coverage ratios, with 10-year mean/median.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Appendix D — Forecasting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Sales, EBITDA, and EPS trendline forecast, FY2027–FY2031.</w:t>
      </w:r>
    </w:p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Appendix E — Raw Data Sheet</w:t>
      </w:r>
    </w:p>
    <w:p>
      <w:pPr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Raw source data feeding every other tab — annual and quarterly financials, share price.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cebc75661c48a4374362d06421213aa20187fb.png"/><Relationship Id="rId8" Type="http://schemas.openxmlformats.org/officeDocument/2006/relationships/image" Target="media/17cb9877a87c5fc6db74e162fbd521087b92dcbd.png"/><Relationship Id="rId9" Type="http://schemas.openxmlformats.org/officeDocument/2006/relationships/image" Target="media/f2870eae02762a7792b50547ee15708ffef70947.png"/><Relationship Id="rId10" Type="http://schemas.openxmlformats.org/officeDocument/2006/relationships/image" Target="media/7fc8ca80907d809f308989995cc045c7050671cc.png"/><Relationship Id="rId11" Type="http://schemas.openxmlformats.org/officeDocument/2006/relationships/image" Target="media/b0b3c0813fd297b3f4299dcb062140ff1a83f2d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2026-08-27T19:53:19.799Z</dcterms:created>
  <dcterms:modified xsi:type="dcterms:W3CDTF">2026-08-27T19:53:19.812Z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