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A13A0" w:rsidRDefault="00000000">
      <w:pPr>
        <w:pStyle w:val="Heading1"/>
        <w:spacing w:after="160" w:line="480" w:lineRule="auto"/>
        <w:rPr>
          <w:rFonts w:ascii="Times New Roman" w:eastAsia="Times New Roman" w:hAnsi="Times New Roman" w:cs="Times New Roman"/>
          <w:b/>
          <w:bCs/>
          <w:u w:val="single"/>
        </w:rPr>
      </w:pPr>
      <w:bookmarkStart w:id="0" w:name="_r2boudoo86df" w:colFirst="0" w:colLast="0"/>
      <w:bookmarkEnd w:id="0"/>
      <w:r>
        <w:rPr>
          <w:rFonts w:ascii="Times New Roman" w:eastAsia="Times New Roman" w:hAnsi="Times New Roman" w:cs="Times New Roman"/>
          <w:b/>
          <w:bCs/>
          <w:u w:val="single"/>
        </w:rPr>
        <w:t>Notes:</w:t>
      </w:r>
    </w:p>
    <w:p w14:paraId="00000002" w14:textId="77777777" w:rsidR="00BA13A0" w:rsidRDefault="00000000">
      <w:pPr>
        <w:pStyle w:val="Heading2"/>
        <w:spacing w:after="160" w:line="480" w:lineRule="auto"/>
        <w:rPr>
          <w:rFonts w:ascii="Times New Roman" w:eastAsia="Times New Roman" w:hAnsi="Times New Roman" w:cs="Times New Roman"/>
          <w:b/>
          <w:bCs/>
          <w:sz w:val="28"/>
          <w:szCs w:val="28"/>
        </w:rPr>
      </w:pPr>
      <w:bookmarkStart w:id="1" w:name="_dmqvp7lj2x3o" w:colFirst="0" w:colLast="0"/>
      <w:bookmarkEnd w:id="1"/>
      <w:r>
        <w:rPr>
          <w:rFonts w:ascii="Times New Roman" w:eastAsia="Times New Roman" w:hAnsi="Times New Roman" w:cs="Times New Roman"/>
          <w:sz w:val="28"/>
          <w:szCs w:val="28"/>
        </w:rPr>
        <w:t>Agreements</w:t>
      </w:r>
      <w:r>
        <w:rPr>
          <w:rFonts w:ascii="Times New Roman" w:eastAsia="Times New Roman" w:hAnsi="Times New Roman" w:cs="Times New Roman"/>
          <w:b/>
          <w:bCs/>
          <w:sz w:val="28"/>
          <w:szCs w:val="28"/>
        </w:rPr>
        <w:t>:</w:t>
      </w:r>
    </w:p>
    <w:p w14:paraId="00000003" w14:textId="77777777" w:rsidR="00BA13A0" w:rsidRDefault="00000000">
      <w:pPr>
        <w:numPr>
          <w:ilvl w:val="0"/>
          <w:numId w:val="3"/>
        </w:num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unenforced</w:t>
      </w:r>
      <w:proofErr w:type="gramEnd"/>
      <w:r>
        <w:rPr>
          <w:rFonts w:ascii="Times New Roman" w:eastAsia="Times New Roman" w:hAnsi="Times New Roman" w:cs="Times New Roman"/>
          <w:sz w:val="24"/>
          <w:szCs w:val="24"/>
        </w:rPr>
        <w:t xml:space="preserve"> laws can't be seen as respecting a right not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simply due to it being not enforced.</w:t>
      </w:r>
    </w:p>
    <w:p w14:paraId="00000004" w14:textId="77777777" w:rsidR="00BA13A0"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right not to vote is a claim-right rather than a privilege right </w:t>
      </w:r>
    </w:p>
    <w:p w14:paraId="00000005" w14:textId="77777777" w:rsidR="00BA13A0" w:rsidRDefault="00000000">
      <w:pPr>
        <w:numPr>
          <w:ilvl w:val="0"/>
          <w:numId w:val="3"/>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Citizens can contribute to democracy without voting </w:t>
      </w:r>
    </w:p>
    <w:p w14:paraId="00000006" w14:textId="77777777" w:rsidR="00BA13A0" w:rsidRDefault="00000000">
      <w:pPr>
        <w:pStyle w:val="Heading2"/>
        <w:spacing w:after="160" w:line="480" w:lineRule="auto"/>
        <w:rPr>
          <w:rFonts w:ascii="Times New Roman" w:eastAsia="Times New Roman" w:hAnsi="Times New Roman" w:cs="Times New Roman"/>
          <w:sz w:val="28"/>
          <w:szCs w:val="28"/>
        </w:rPr>
      </w:pPr>
      <w:bookmarkStart w:id="2" w:name="_639id9v84xl6" w:colFirst="0" w:colLast="0"/>
      <w:bookmarkEnd w:id="2"/>
      <w:r>
        <w:rPr>
          <w:rFonts w:ascii="Times New Roman" w:eastAsia="Times New Roman" w:hAnsi="Times New Roman" w:cs="Times New Roman"/>
          <w:sz w:val="28"/>
          <w:szCs w:val="28"/>
        </w:rPr>
        <w:t>Secondary Criticisms</w:t>
      </w:r>
    </w:p>
    <w:p w14:paraId="00000007" w14:textId="77777777" w:rsidR="00BA13A0" w:rsidRDefault="00000000">
      <w:pPr>
        <w:numPr>
          <w:ilvl w:val="0"/>
          <w:numId w:val="2"/>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duty to vote doesn't negate a right not to vote</w:t>
      </w:r>
    </w:p>
    <w:p w14:paraId="00000008" w14:textId="77777777" w:rsidR="00BA13A0" w:rsidRDefault="00000000">
      <w:pPr>
        <w:pStyle w:val="Heading2"/>
        <w:spacing w:after="160" w:line="480" w:lineRule="auto"/>
        <w:rPr>
          <w:rFonts w:ascii="Times New Roman" w:eastAsia="Times New Roman" w:hAnsi="Times New Roman" w:cs="Times New Roman"/>
          <w:sz w:val="28"/>
          <w:szCs w:val="28"/>
        </w:rPr>
      </w:pPr>
      <w:bookmarkStart w:id="3" w:name="_gvqwrtnsyu5" w:colFirst="0" w:colLast="0"/>
      <w:bookmarkEnd w:id="3"/>
      <w:r>
        <w:rPr>
          <w:rFonts w:ascii="Times New Roman" w:eastAsia="Times New Roman" w:hAnsi="Times New Roman" w:cs="Times New Roman"/>
          <w:sz w:val="28"/>
          <w:szCs w:val="28"/>
        </w:rPr>
        <w:t>Tertiary Criticisms</w:t>
      </w:r>
    </w:p>
    <w:p w14:paraId="00000009" w14:textId="77777777" w:rsidR="00BA13A0" w:rsidRDefault="00000000">
      <w:pPr>
        <w:numPr>
          <w:ilvl w:val="0"/>
          <w:numId w:val="1"/>
        </w:num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specifically</w:t>
      </w:r>
      <w:proofErr w:type="gramEnd"/>
      <w:r>
        <w:rPr>
          <w:rFonts w:ascii="Times New Roman" w:eastAsia="Times New Roman" w:hAnsi="Times New Roman" w:cs="Times New Roman"/>
          <w:sz w:val="24"/>
          <w:szCs w:val="24"/>
        </w:rPr>
        <w:t xml:space="preserve"> attending </w:t>
      </w:r>
      <w:proofErr w:type="gramStart"/>
      <w:r>
        <w:rPr>
          <w:rFonts w:ascii="Times New Roman" w:eastAsia="Times New Roman" w:hAnsi="Times New Roman" w:cs="Times New Roman"/>
          <w:sz w:val="24"/>
          <w:szCs w:val="24"/>
        </w:rPr>
        <w:t>polls,</w:t>
      </w:r>
      <w:proofErr w:type="gramEnd"/>
      <w:r>
        <w:rPr>
          <w:rFonts w:ascii="Times New Roman" w:eastAsia="Times New Roman" w:hAnsi="Times New Roman" w:cs="Times New Roman"/>
          <w:sz w:val="24"/>
          <w:szCs w:val="24"/>
        </w:rPr>
        <w:t xml:space="preserve"> doesn't correlate to democratic benefits </w:t>
      </w:r>
    </w:p>
    <w:p w14:paraId="0000000A" w14:textId="77777777" w:rsidR="00BA13A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Liberty gives a basic right not to vote </w:t>
      </w:r>
    </w:p>
    <w:p w14:paraId="0000000B" w14:textId="77777777" w:rsidR="00BA13A0" w:rsidRDefault="00000000">
      <w:pPr>
        <w:numPr>
          <w:ilvl w:val="0"/>
          <w:numId w:val="1"/>
        </w:num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republican theories of freedom don't justify compulsory voting</w:t>
      </w:r>
    </w:p>
    <w:p w14:paraId="0000000C" w14:textId="77777777" w:rsidR="00BA13A0" w:rsidRDefault="00000000">
      <w:pPr>
        <w:pStyle w:val="Heading1"/>
        <w:spacing w:after="160" w:line="480" w:lineRule="auto"/>
        <w:rPr>
          <w:rFonts w:ascii="Times New Roman" w:eastAsia="Times New Roman" w:hAnsi="Times New Roman" w:cs="Times New Roman"/>
          <w:b/>
          <w:bCs/>
          <w:u w:val="single"/>
        </w:rPr>
      </w:pPr>
      <w:bookmarkStart w:id="4" w:name="_t2ljbd40gip3" w:colFirst="0" w:colLast="0"/>
      <w:bookmarkEnd w:id="4"/>
      <w:r>
        <w:rPr>
          <w:rFonts w:ascii="Times New Roman" w:eastAsia="Times New Roman" w:hAnsi="Times New Roman" w:cs="Times New Roman"/>
          <w:b/>
          <w:bCs/>
          <w:u w:val="single"/>
        </w:rPr>
        <w:t>Critical Argument</w:t>
      </w:r>
    </w:p>
    <w:p w14:paraId="0000000D" w14:textId="2CE0A84A" w:rsidR="00BA13A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i/>
          <w:iCs/>
          <w:sz w:val="24"/>
          <w:szCs w:val="24"/>
        </w:rPr>
        <w:t xml:space="preserve">A Further </w:t>
      </w:r>
      <w:r w:rsidR="00527633">
        <w:rPr>
          <w:rFonts w:ascii="Times New Roman" w:eastAsia="Times New Roman" w:hAnsi="Times New Roman" w:cs="Times New Roman"/>
          <w:i/>
          <w:iCs/>
          <w:sz w:val="24"/>
          <w:szCs w:val="24"/>
        </w:rPr>
        <w:t>Defense</w:t>
      </w:r>
      <w:r>
        <w:rPr>
          <w:rFonts w:ascii="Times New Roman" w:eastAsia="Times New Roman" w:hAnsi="Times New Roman" w:cs="Times New Roman"/>
          <w:i/>
          <w:iCs/>
          <w:sz w:val="24"/>
          <w:szCs w:val="24"/>
        </w:rPr>
        <w:t xml:space="preserve"> of the Right Not to Vote</w:t>
      </w:r>
      <w:r>
        <w:rPr>
          <w:rFonts w:ascii="Times New Roman" w:eastAsia="Times New Roman" w:hAnsi="Times New Roman" w:cs="Times New Roman"/>
          <w:sz w:val="24"/>
          <w:szCs w:val="24"/>
        </w:rPr>
        <w:t xml:space="preserve"> (2018), Saunders argues that citizens possess a right not to be compelled to vote. He argues that this right is valid even if voting is considered a civic duty, the benefits of democratic benefits of a higher voter turnout doesn’t automatically justify legal enforcement, compulsory voting goes against the base of liberties, the right not to vote is a claim-right duty and that the democratic process is more than just voting. </w:t>
      </w:r>
      <w:proofErr w:type="gramStart"/>
      <w:r>
        <w:rPr>
          <w:rFonts w:ascii="Times New Roman" w:eastAsia="Times New Roman" w:hAnsi="Times New Roman" w:cs="Times New Roman"/>
          <w:sz w:val="24"/>
          <w:szCs w:val="24"/>
        </w:rPr>
        <w:lastRenderedPageBreak/>
        <w:t>Through the use of</w:t>
      </w:r>
      <w:proofErr w:type="gramEnd"/>
      <w:r>
        <w:rPr>
          <w:rFonts w:ascii="Times New Roman" w:eastAsia="Times New Roman" w:hAnsi="Times New Roman" w:cs="Times New Roman"/>
          <w:sz w:val="24"/>
          <w:szCs w:val="24"/>
        </w:rPr>
        <w:t xml:space="preserve"> the rights theory, </w:t>
      </w:r>
      <w:proofErr w:type="spellStart"/>
      <w:r>
        <w:rPr>
          <w:rFonts w:ascii="Times New Roman" w:eastAsia="Times New Roman" w:hAnsi="Times New Roman" w:cs="Times New Roman"/>
          <w:sz w:val="24"/>
          <w:szCs w:val="24"/>
        </w:rPr>
        <w:t>Hohfeldian</w:t>
      </w:r>
      <w:proofErr w:type="spellEnd"/>
      <w:r>
        <w:rPr>
          <w:rFonts w:ascii="Times New Roman" w:eastAsia="Times New Roman" w:hAnsi="Times New Roman" w:cs="Times New Roman"/>
          <w:sz w:val="24"/>
          <w:szCs w:val="24"/>
        </w:rPr>
        <w:t xml:space="preserve"> legal relations and conceptions of freedom he argues in defense of a citizens’ right not to vote.</w:t>
      </w:r>
    </w:p>
    <w:p w14:paraId="0000000E" w14:textId="77777777" w:rsidR="00BA13A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terms of valid claims, Saunders' begins his strongest arguments by first arguing what a “right not to vote” </w:t>
      </w:r>
      <w:proofErr w:type="gramStart"/>
      <w:r>
        <w:rPr>
          <w:rFonts w:ascii="Times New Roman" w:eastAsia="Times New Roman" w:hAnsi="Times New Roman" w:cs="Times New Roman"/>
          <w:sz w:val="24"/>
          <w:szCs w:val="24"/>
        </w:rPr>
        <w:t>actually is</w:t>
      </w:r>
      <w:proofErr w:type="gramEnd"/>
      <w:r>
        <w:rPr>
          <w:rFonts w:ascii="Times New Roman" w:eastAsia="Times New Roman" w:hAnsi="Times New Roman" w:cs="Times New Roman"/>
          <w:sz w:val="24"/>
          <w:szCs w:val="24"/>
        </w:rPr>
        <w:t xml:space="preserve"> and what it means. He uses </w:t>
      </w:r>
      <w:proofErr w:type="spellStart"/>
      <w:r>
        <w:rPr>
          <w:rFonts w:ascii="Times New Roman" w:eastAsia="Times New Roman" w:hAnsi="Times New Roman" w:cs="Times New Roman"/>
          <w:sz w:val="24"/>
          <w:szCs w:val="24"/>
        </w:rPr>
        <w:t>Hohfeld's</w:t>
      </w:r>
      <w:proofErr w:type="spellEnd"/>
      <w:r>
        <w:rPr>
          <w:rFonts w:ascii="Times New Roman" w:eastAsia="Times New Roman" w:hAnsi="Times New Roman" w:cs="Times New Roman"/>
          <w:sz w:val="24"/>
          <w:szCs w:val="24"/>
        </w:rPr>
        <w:t xml:space="preserve"> definition of a claim-right and privilege rights to show that the “right not to vote” cannot exist as a privilege right, as a privilege right can be revoked without violation.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it would offer nothing in defense against compulsory voting, as such, the only meaningful </w:t>
      </w:r>
      <w:proofErr w:type="gramStart"/>
      <w:r>
        <w:rPr>
          <w:rFonts w:ascii="Times New Roman" w:eastAsia="Times New Roman" w:hAnsi="Times New Roman" w:cs="Times New Roman"/>
          <w:sz w:val="24"/>
          <w:szCs w:val="24"/>
        </w:rPr>
        <w:t>way</w:t>
      </w:r>
      <w:proofErr w:type="gramEnd"/>
      <w:r>
        <w:rPr>
          <w:rFonts w:ascii="Times New Roman" w:eastAsia="Times New Roman" w:hAnsi="Times New Roman" w:cs="Times New Roman"/>
          <w:sz w:val="24"/>
          <w:szCs w:val="24"/>
        </w:rPr>
        <w:t xml:space="preserve"> which a right not to vote could exist is as a claim-right that imposes a corresponding duty on the state not to force citizens to vote. So, the right not to vote must be seen as a claim-right as discourse about it, only makes sense under the context of the right not to vote being a claim-right and not a privilege-right. </w:t>
      </w:r>
    </w:p>
    <w:p w14:paraId="0000000F" w14:textId="77777777" w:rsidR="00BA13A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the next strongest argument is how laws possess symbolic significance regardless of how they are enforced. He discusses how Australia’s compulsory voting laws, despite not being enforced and allowance of blank votes, coerce no-show people to show and cast blank ballots. He argues that the mere existence of laws </w:t>
      </w:r>
      <w:proofErr w:type="gramStart"/>
      <w:r>
        <w:rPr>
          <w:rFonts w:ascii="Times New Roman" w:eastAsia="Times New Roman" w:hAnsi="Times New Roman" w:cs="Times New Roman"/>
          <w:sz w:val="24"/>
          <w:szCs w:val="24"/>
        </w:rPr>
        <w:t>communicate</w:t>
      </w:r>
      <w:proofErr w:type="gramEnd"/>
      <w:r>
        <w:rPr>
          <w:rFonts w:ascii="Times New Roman" w:eastAsia="Times New Roman" w:hAnsi="Times New Roman" w:cs="Times New Roman"/>
          <w:sz w:val="24"/>
          <w:szCs w:val="24"/>
        </w:rPr>
        <w:t xml:space="preserve"> the social expectations and values of our society. As such, the notion of compulsory laws being difficult to enforce as an argument in agreement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their existence does not eliminate their coercive nature.</w:t>
      </w:r>
    </w:p>
    <w:p w14:paraId="00000010" w14:textId="77777777" w:rsidR="00BA13A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Saunders demonstrates that democratic participation goes beyond casting votes. Saying citizens can also contribute to democracy through protest, campaigning, public discussion, community organizing, and political oversight. As such, voting is only one form of democratic participation rather than its sole expression. Which means, compulsory voting is not the only way to have an increase in democratic activity.</w:t>
      </w:r>
    </w:p>
    <w:p w14:paraId="00000011" w14:textId="445BB7ED" w:rsidR="00BA13A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strengths, other arguments Saunders’ argues </w:t>
      </w:r>
      <w:proofErr w:type="gramStart"/>
      <w:r>
        <w:rPr>
          <w:rFonts w:ascii="Times New Roman" w:eastAsia="Times New Roman" w:hAnsi="Times New Roman" w:cs="Times New Roman"/>
          <w:sz w:val="24"/>
          <w:szCs w:val="24"/>
        </w:rPr>
        <w:t>relies on</w:t>
      </w:r>
      <w:proofErr w:type="gramEnd"/>
      <w:r>
        <w:rPr>
          <w:rFonts w:ascii="Times New Roman" w:eastAsia="Times New Roman" w:hAnsi="Times New Roman" w:cs="Times New Roman"/>
          <w:sz w:val="24"/>
          <w:szCs w:val="24"/>
        </w:rPr>
        <w:t xml:space="preserve"> largely unproven assumptions, thus the tertiary claims. He assumes that liberty should always receive priority over collective democratic outcomes. Throughout the article, individual freedom is treated as the default position while state coercion always requires exceptional justification which is not a universally accepted philosophy. Although he acknowledges republican alternatives, he never fully justifies why his reasoning of liberty overrides civic obligations or collective democratic benefits. Consequently, much of his conclusion depends upon accepting this philosophical premise that many reasonable political theorists reject. He also</w:t>
      </w:r>
      <w:r w:rsidR="00D77872">
        <w:rPr>
          <w:rFonts w:ascii="Times New Roman" w:eastAsia="Times New Roman" w:hAnsi="Times New Roman" w:cs="Times New Roman"/>
          <w:sz w:val="24"/>
          <w:szCs w:val="24"/>
        </w:rPr>
        <w:t xml:space="preserve"> fails to</w:t>
      </w:r>
      <w:r>
        <w:rPr>
          <w:rFonts w:ascii="Times New Roman" w:eastAsia="Times New Roman" w:hAnsi="Times New Roman" w:cs="Times New Roman"/>
          <w:sz w:val="24"/>
          <w:szCs w:val="24"/>
        </w:rPr>
        <w:t xml:space="preserve"> </w:t>
      </w:r>
      <w:r w:rsidR="00D77872">
        <w:rPr>
          <w:rFonts w:ascii="Times New Roman" w:eastAsia="Times New Roman" w:hAnsi="Times New Roman" w:cs="Times New Roman"/>
          <w:sz w:val="24"/>
          <w:szCs w:val="24"/>
        </w:rPr>
        <w:t>consider</w:t>
      </w:r>
      <w:r>
        <w:rPr>
          <w:rFonts w:ascii="Times New Roman" w:eastAsia="Times New Roman" w:hAnsi="Times New Roman" w:cs="Times New Roman"/>
          <w:sz w:val="24"/>
          <w:szCs w:val="24"/>
        </w:rPr>
        <w:t xml:space="preserve"> the possibility that many compulsory voters cast meaningful ballots, therefore increasing representation and legitimacy. He brings up Australia but does not acknowledge any improvement democratic legitimacy, political equality, or representation; rather he mostly goes under the assumption that these extra voters purely submit blank, useless ballots or that their ballots would not make much of a change.</w:t>
      </w:r>
    </w:p>
    <w:p w14:paraId="00000012" w14:textId="13F49AB1" w:rsidR="00BA13A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his secondary claim </w:t>
      </w:r>
      <w:r w:rsidR="00545ED5">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 xml:space="preserve">that a duty to vote does not justify legal enforcement </w:t>
      </w:r>
      <w:r w:rsidR="00545ED5">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 xml:space="preserve">many duties are not legally enforceable. However, he never properly distinguishes between moral duties and civic duties that are already enforced by law. For example, jury duty and taxation are widely accepted civic duties and are legally enforced. Saunders does not explain why voting should be treated differently from these other civic obligations, his argument leaves </w:t>
      </w:r>
      <w:r>
        <w:rPr>
          <w:rFonts w:ascii="Times New Roman" w:eastAsia="Times New Roman" w:hAnsi="Times New Roman" w:cs="Times New Roman"/>
          <w:sz w:val="24"/>
          <w:szCs w:val="24"/>
        </w:rPr>
        <w:lastRenderedPageBreak/>
        <w:t xml:space="preserve">an important gap. As such, clarification and a clear distinction had to be added to then argue that a right not to vote being a civic duty is on the same level of a duty and not responsibility. </w:t>
      </w:r>
    </w:p>
    <w:p w14:paraId="00000013" w14:textId="77777777" w:rsidR="00BA13A0" w:rsidRDefault="00000000">
      <w:pPr>
        <w:rPr>
          <w:rFonts w:ascii="Times New Roman" w:eastAsia="Times New Roman" w:hAnsi="Times New Roman" w:cs="Times New Roman"/>
          <w:u w:val="single"/>
        </w:rPr>
      </w:pPr>
      <w:r>
        <w:rPr>
          <w:rFonts w:ascii="Times New Roman" w:eastAsia="Times New Roman" w:hAnsi="Times New Roman" w:cs="Times New Roman"/>
          <w:sz w:val="24"/>
          <w:szCs w:val="24"/>
        </w:rPr>
        <w:tab/>
        <w:t xml:space="preserve">Overall, his use of </w:t>
      </w:r>
      <w:proofErr w:type="spellStart"/>
      <w:r>
        <w:rPr>
          <w:rFonts w:ascii="Times New Roman" w:eastAsia="Times New Roman" w:hAnsi="Times New Roman" w:cs="Times New Roman"/>
          <w:sz w:val="24"/>
          <w:szCs w:val="24"/>
        </w:rPr>
        <w:t>Hohfeldian</w:t>
      </w:r>
      <w:proofErr w:type="spellEnd"/>
      <w:r>
        <w:rPr>
          <w:rFonts w:ascii="Times New Roman" w:eastAsia="Times New Roman" w:hAnsi="Times New Roman" w:cs="Times New Roman"/>
          <w:sz w:val="24"/>
          <w:szCs w:val="24"/>
        </w:rPr>
        <w:t xml:space="preserve"> rights, distinction between moral duties and legal coercion, and analysis of democratic participation help strengthen his claims, however, his use of assumptions and neglection of clarification / acknowledgement for some arguments undermine his position. So, his arguments in the end are not persuasive enough to conclusively argue individuals have the right not to vote.</w:t>
      </w:r>
    </w:p>
    <w:p w14:paraId="00000014" w14:textId="77777777" w:rsidR="00BA13A0" w:rsidRDefault="00BA13A0">
      <w:pPr>
        <w:rPr>
          <w:rFonts w:ascii="Times New Roman" w:eastAsia="Times New Roman" w:hAnsi="Times New Roman" w:cs="Times New Roman"/>
          <w:u w:val="single"/>
        </w:rPr>
      </w:pPr>
    </w:p>
    <w:p w14:paraId="00000015" w14:textId="77777777" w:rsidR="00BA13A0" w:rsidRDefault="00000000">
      <w:pPr>
        <w:spacing w:after="160" w:line="480" w:lineRule="auto"/>
        <w:jc w:val="center"/>
        <w:rPr>
          <w:rFonts w:ascii="Times New Roman" w:eastAsia="Times New Roman" w:hAnsi="Times New Roman" w:cs="Times New Roman"/>
          <w:b/>
          <w:bCs/>
          <w:sz w:val="24"/>
          <w:szCs w:val="24"/>
        </w:rPr>
      </w:pPr>
      <w:r>
        <w:br w:type="page"/>
      </w:r>
    </w:p>
    <w:p w14:paraId="0000001A" w14:textId="3BB32E38" w:rsidR="00BA13A0" w:rsidRPr="00D0310F" w:rsidRDefault="00000000" w:rsidP="00BA1196">
      <w:pPr>
        <w:spacing w:after="160" w:line="480" w:lineRule="auto"/>
        <w:jc w:val="center"/>
        <w:rPr>
          <w:rFonts w:ascii="Times New Roman" w:eastAsia="Times New Roman" w:hAnsi="Times New Roman" w:cs="Times New Roman"/>
          <w:b/>
          <w:bCs/>
          <w:sz w:val="24"/>
          <w:szCs w:val="24"/>
        </w:rPr>
      </w:pPr>
      <w:r w:rsidRPr="00D0310F">
        <w:rPr>
          <w:rFonts w:ascii="Times New Roman" w:eastAsia="Times New Roman" w:hAnsi="Times New Roman" w:cs="Times New Roman"/>
          <w:b/>
          <w:bCs/>
          <w:sz w:val="24"/>
          <w:szCs w:val="24"/>
        </w:rPr>
        <w:lastRenderedPageBreak/>
        <w:t>Bibliography</w:t>
      </w:r>
    </w:p>
    <w:p w14:paraId="3157A439" w14:textId="77777777" w:rsidR="00BA1196" w:rsidRPr="00D0310F" w:rsidRDefault="00BA1196" w:rsidP="00BA1196">
      <w:pPr>
        <w:spacing w:after="160" w:line="480" w:lineRule="auto"/>
        <w:jc w:val="center"/>
        <w:rPr>
          <w:rFonts w:ascii="Times New Roman" w:eastAsia="Times New Roman" w:hAnsi="Times New Roman" w:cs="Times New Roman"/>
          <w:b/>
          <w:bCs/>
          <w:sz w:val="24"/>
          <w:szCs w:val="24"/>
        </w:rPr>
      </w:pPr>
    </w:p>
    <w:p w14:paraId="592106F7" w14:textId="548FFDAB" w:rsidR="00BA1196" w:rsidRPr="00D0310F" w:rsidRDefault="00BA1196" w:rsidP="00BA1196">
      <w:pPr>
        <w:pStyle w:val="Bibliography"/>
        <w:rPr>
          <w:rFonts w:ascii="Times New Roman" w:hAnsi="Times New Roman" w:cs="Times New Roman"/>
          <w:sz w:val="24"/>
          <w:szCs w:val="24"/>
        </w:rPr>
      </w:pPr>
      <w:r w:rsidRPr="00D0310F">
        <w:rPr>
          <w:rFonts w:ascii="Times New Roman" w:eastAsia="Times New Roman" w:hAnsi="Times New Roman" w:cs="Times New Roman"/>
          <w:sz w:val="24"/>
          <w:szCs w:val="24"/>
        </w:rPr>
        <w:fldChar w:fldCharType="begin"/>
      </w:r>
      <w:r w:rsidRPr="00D0310F">
        <w:rPr>
          <w:rFonts w:ascii="Times New Roman" w:eastAsia="Times New Roman" w:hAnsi="Times New Roman" w:cs="Times New Roman"/>
          <w:sz w:val="24"/>
          <w:szCs w:val="24"/>
        </w:rPr>
        <w:instrText xml:space="preserve"> ADDIN ZOTERO_BIBL {"uncited":[],"omitted":[],"custom":[]} CSL_BIBLIOGRAPHY </w:instrText>
      </w:r>
      <w:r w:rsidRPr="00D0310F">
        <w:rPr>
          <w:rFonts w:ascii="Times New Roman" w:eastAsia="Times New Roman" w:hAnsi="Times New Roman" w:cs="Times New Roman"/>
          <w:sz w:val="24"/>
          <w:szCs w:val="24"/>
        </w:rPr>
        <w:fldChar w:fldCharType="separate"/>
      </w:r>
      <w:r w:rsidRPr="00D0310F">
        <w:rPr>
          <w:rFonts w:ascii="Times New Roman" w:hAnsi="Times New Roman" w:cs="Times New Roman"/>
          <w:sz w:val="24"/>
          <w:szCs w:val="24"/>
        </w:rPr>
        <w:t xml:space="preserve">Saunders, B. (2018). A Further </w:t>
      </w:r>
      <w:proofErr w:type="spellStart"/>
      <w:r w:rsidRPr="00D0310F">
        <w:rPr>
          <w:rFonts w:ascii="Times New Roman" w:hAnsi="Times New Roman" w:cs="Times New Roman"/>
          <w:sz w:val="24"/>
          <w:szCs w:val="24"/>
        </w:rPr>
        <w:t>Defence</w:t>
      </w:r>
      <w:proofErr w:type="spellEnd"/>
      <w:r w:rsidRPr="00D0310F">
        <w:rPr>
          <w:rFonts w:ascii="Times New Roman" w:hAnsi="Times New Roman" w:cs="Times New Roman"/>
          <w:sz w:val="24"/>
          <w:szCs w:val="24"/>
        </w:rPr>
        <w:t xml:space="preserve"> of the Right Not to Vote. </w:t>
      </w:r>
      <w:r w:rsidRPr="00D0310F">
        <w:rPr>
          <w:rFonts w:ascii="Times New Roman" w:hAnsi="Times New Roman" w:cs="Times New Roman"/>
          <w:i/>
          <w:iCs/>
          <w:sz w:val="24"/>
          <w:szCs w:val="24"/>
        </w:rPr>
        <w:t>Res Publica (Liverpool, England)</w:t>
      </w:r>
      <w:r w:rsidRPr="00D0310F">
        <w:rPr>
          <w:rFonts w:ascii="Times New Roman" w:hAnsi="Times New Roman" w:cs="Times New Roman"/>
          <w:sz w:val="24"/>
          <w:szCs w:val="24"/>
        </w:rPr>
        <w:t xml:space="preserve">, </w:t>
      </w:r>
      <w:r w:rsidRPr="00D0310F">
        <w:rPr>
          <w:rFonts w:ascii="Times New Roman" w:hAnsi="Times New Roman" w:cs="Times New Roman"/>
          <w:i/>
          <w:iCs/>
          <w:sz w:val="24"/>
          <w:szCs w:val="24"/>
        </w:rPr>
        <w:t>24</w:t>
      </w:r>
      <w:r w:rsidRPr="00D0310F">
        <w:rPr>
          <w:rFonts w:ascii="Times New Roman" w:hAnsi="Times New Roman" w:cs="Times New Roman"/>
          <w:sz w:val="24"/>
          <w:szCs w:val="24"/>
        </w:rPr>
        <w:t xml:space="preserve">(1), 93–108. </w:t>
      </w:r>
      <w:r w:rsidRPr="00D0310F">
        <w:rPr>
          <w:rFonts w:ascii="Times New Roman" w:hAnsi="Times New Roman" w:cs="Times New Roman"/>
          <w:sz w:val="24"/>
          <w:szCs w:val="24"/>
        </w:rPr>
        <w:t>https://doi.org/10.1007/s11158-017-9391-0</w:t>
      </w:r>
    </w:p>
    <w:p w14:paraId="3DB9E099" w14:textId="77777777" w:rsidR="00BA1196" w:rsidRPr="00D0310F" w:rsidRDefault="00BA1196" w:rsidP="00BA1196">
      <w:pPr>
        <w:rPr>
          <w:rFonts w:ascii="Times New Roman" w:hAnsi="Times New Roman" w:cs="Times New Roman"/>
          <w:sz w:val="24"/>
          <w:szCs w:val="24"/>
        </w:rPr>
      </w:pPr>
    </w:p>
    <w:p w14:paraId="11A1F7E6" w14:textId="77777777" w:rsidR="00BA1196" w:rsidRPr="00D0310F" w:rsidRDefault="00BA1196" w:rsidP="00BA1196">
      <w:pPr>
        <w:rPr>
          <w:rFonts w:ascii="Times New Roman" w:hAnsi="Times New Roman" w:cs="Times New Roman"/>
          <w:sz w:val="24"/>
          <w:szCs w:val="24"/>
        </w:rPr>
      </w:pPr>
    </w:p>
    <w:p w14:paraId="55E7E995" w14:textId="190DFF5D" w:rsidR="00BA1196" w:rsidRPr="00D0310F" w:rsidRDefault="00BA1196">
      <w:pPr>
        <w:rPr>
          <w:rFonts w:ascii="Times New Roman" w:eastAsia="Times New Roman" w:hAnsi="Times New Roman" w:cs="Times New Roman"/>
          <w:sz w:val="24"/>
          <w:szCs w:val="24"/>
        </w:rPr>
      </w:pPr>
      <w:r w:rsidRPr="00D0310F">
        <w:rPr>
          <w:rFonts w:ascii="Times New Roman" w:eastAsia="Times New Roman" w:hAnsi="Times New Roman" w:cs="Times New Roman"/>
          <w:sz w:val="24"/>
          <w:szCs w:val="24"/>
        </w:rPr>
        <w:fldChar w:fldCharType="end"/>
      </w:r>
      <w:r w:rsidRPr="00D0310F">
        <w:rPr>
          <w:rFonts w:ascii="Times New Roman" w:eastAsia="Times New Roman" w:hAnsi="Times New Roman" w:cs="Times New Roman"/>
          <w:sz w:val="24"/>
          <w:szCs w:val="24"/>
        </w:rPr>
        <w:t xml:space="preserve"> </w:t>
      </w:r>
    </w:p>
    <w:p w14:paraId="2EAC86A3" w14:textId="77777777" w:rsidR="00BA1196" w:rsidRDefault="00BA1196">
      <w:pPr>
        <w:rPr>
          <w:rFonts w:ascii="Times New Roman" w:eastAsia="Times New Roman" w:hAnsi="Times New Roman" w:cs="Times New Roman"/>
        </w:rPr>
      </w:pPr>
    </w:p>
    <w:sectPr w:rsidR="00BA11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494A15-879F-4638-ADFA-807134DE7EC8}"/>
  </w:font>
  <w:font w:name="Cambria">
    <w:panose1 w:val="02040503050406030204"/>
    <w:charset w:val="00"/>
    <w:family w:val="roman"/>
    <w:pitch w:val="variable"/>
    <w:sig w:usb0="E00006FF" w:usb1="420024FF" w:usb2="02000000" w:usb3="00000000" w:csb0="0000019F" w:csb1="00000000"/>
    <w:embedRegular r:id="rId2" w:fontKey="{38589504-A6E0-4FB0-8EF9-753E64FE00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1C24"/>
    <w:multiLevelType w:val="multilevel"/>
    <w:tmpl w:val="9F889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333A0D"/>
    <w:multiLevelType w:val="multilevel"/>
    <w:tmpl w:val="5BB82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020CF3"/>
    <w:multiLevelType w:val="multilevel"/>
    <w:tmpl w:val="E368A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0111299">
    <w:abstractNumId w:val="1"/>
  </w:num>
  <w:num w:numId="2" w16cid:durableId="1938058947">
    <w:abstractNumId w:val="0"/>
  </w:num>
  <w:num w:numId="3" w16cid:durableId="863250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3A0"/>
    <w:rsid w:val="00036917"/>
    <w:rsid w:val="001671F0"/>
    <w:rsid w:val="004E5887"/>
    <w:rsid w:val="00527633"/>
    <w:rsid w:val="00545ED5"/>
    <w:rsid w:val="00BA1196"/>
    <w:rsid w:val="00BA13A0"/>
    <w:rsid w:val="00BA3A36"/>
    <w:rsid w:val="00D0310F"/>
    <w:rsid w:val="00D778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7C94E"/>
  <w15:docId w15:val="{902999B7-BBA9-429C-919D-F58FE0C9F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A1196"/>
    <w:rPr>
      <w:color w:val="0000FF" w:themeColor="hyperlink"/>
      <w:u w:val="single"/>
    </w:rPr>
  </w:style>
  <w:style w:type="character" w:styleId="UnresolvedMention">
    <w:name w:val="Unresolved Mention"/>
    <w:basedOn w:val="DefaultParagraphFont"/>
    <w:uiPriority w:val="99"/>
    <w:semiHidden/>
    <w:unhideWhenUsed/>
    <w:rsid w:val="00BA1196"/>
    <w:rPr>
      <w:color w:val="605E5C"/>
      <w:shd w:val="clear" w:color="auto" w:fill="E1DFDD"/>
    </w:rPr>
  </w:style>
  <w:style w:type="paragraph" w:styleId="Bibliography">
    <w:name w:val="Bibliography"/>
    <w:basedOn w:val="Normal"/>
    <w:next w:val="Normal"/>
    <w:uiPriority w:val="37"/>
    <w:unhideWhenUsed/>
    <w:rsid w:val="00BA1196"/>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BD881-3616-45E4-A011-0ADB21839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Mansoor Zafar</cp:lastModifiedBy>
  <cp:revision>10</cp:revision>
  <dcterms:created xsi:type="dcterms:W3CDTF">2026-07-10T06:05:00Z</dcterms:created>
  <dcterms:modified xsi:type="dcterms:W3CDTF">2026-07-10T06:10:00Z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id="EpzZMOr6"/&gt;&lt;style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