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Elson — données sensibles, cœur du système et défense devant le jury</w:t>
      </w:r>
    </w:p>
    <w:p>
      <w:pPr>
        <w:pBdr>
          <w:bottom w:val="single" w:color="CCCCCC" w:sz="6" w:space="5"/>
        </w:pBdr>
        <w:spacing w:after="17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Synthèse d'une page · établie à partir de l'audit technique du dépôt (2026-07-29)</w:t>
      </w:r>
    </w:p>
    <w:p>
      <w:pPr>
        <w:spacing w:after="55" w:before="15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1. Ce que le système contient de sensible</w:t>
      </w:r>
    </w:p>
    <w:p>
      <w:pPr>
        <w:spacing w:after="45"/>
        <w:ind w:left="240" w:hanging="240"/>
        <w:jc w:val="both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 voix — </w:t>
      </w:r>
      <w:r>
        <w:rPr>
          <w:rFonts w:ascii="Calibri" w:cs="Calibri" w:eastAsia="Calibri" w:hAnsi="Calibri"/>
          <w:sz w:val="18"/>
          <w:szCs w:val="18"/>
        </w:rPr>
        <w:t xml:space="preserve">les enregistrements des contributeurs sont des données biométriques : c'est la donnée la plus sensible du projet. Aucune durée de conservation ni procédure de suppression n'existe aujourd'hui.</w:t>
      </w:r>
    </w:p>
    <w:p>
      <w:pPr>
        <w:spacing w:after="45"/>
        <w:ind w:left="240" w:hanging="240"/>
        <w:jc w:val="both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Le NNI — </w:t>
      </w:r>
      <w:r>
        <w:rPr>
          <w:rFonts w:ascii="Calibri" w:cs="Calibri" w:eastAsia="Calibri" w:hAnsi="Calibri"/>
          <w:sz w:val="18"/>
          <w:szCs w:val="18"/>
        </w:rPr>
        <w:t xml:space="preserve">le numéro d'identité nationale, identifiant officiel, unique par compte, stocké sans chiffrement.</w:t>
      </w:r>
    </w:p>
    <w:p>
      <w:pPr>
        <w:spacing w:after="45"/>
        <w:ind w:left="240" w:hanging="240"/>
        <w:jc w:val="both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Les coordonnées directes — </w:t>
      </w:r>
      <w:r>
        <w:rPr>
          <w:rFonts w:ascii="Calibri" w:cs="Calibri" w:eastAsia="Calibri" w:hAnsi="Calibri"/>
          <w:sz w:val="18"/>
          <w:szCs w:val="18"/>
        </w:rPr>
        <w:t xml:space="preserve">numéro WhatsApp, nom, prénom, date de naissance, email.</w:t>
      </w:r>
    </w:p>
    <w:p>
      <w:pPr>
        <w:spacing w:after="45"/>
        <w:ind w:left="240" w:hanging="240"/>
        <w:jc w:val="both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Les traces anti-fraude — </w:t>
      </w:r>
      <w:r>
        <w:rPr>
          <w:rFonts w:ascii="Calibri" w:cs="Calibri" w:eastAsia="Calibri" w:hAnsi="Calibri"/>
          <w:sz w:val="18"/>
          <w:szCs w:val="18"/>
        </w:rPr>
        <w:t xml:space="preserve">IP d'inscription, pays / ville / opérateur, empreinte de l'appareil, score de fraude. Ce score déclenche un refus automatique d'inscription : c'est une décision automatisée.</w:t>
      </w:r>
    </w:p>
    <w:p>
      <w:pPr>
        <w:spacing w:after="45"/>
        <w:ind w:left="240" w:hanging="240"/>
        <w:jc w:val="both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Les données de tiers — </w:t>
      </w:r>
      <w:r>
        <w:rPr>
          <w:rFonts w:ascii="Calibri" w:cs="Calibri" w:eastAsia="Calibri" w:hAnsi="Calibri"/>
          <w:sz w:val="18"/>
          <w:szCs w:val="18"/>
        </w:rPr>
        <w:t xml:space="preserve">la table des « crédits contributeurs » enregistre le nom et le numéro de personnes qui n'ont jamais donné leur accord.</w:t>
      </w:r>
    </w:p>
    <w:p>
      <w:pPr>
        <w:spacing w:after="45"/>
        <w:ind w:left="240" w:hanging="240"/>
        <w:jc w:val="both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Les secrets techniques — </w:t>
      </w:r>
      <w:r>
        <w:rPr>
          <w:rFonts w:ascii="Calibri" w:cs="Calibri" w:eastAsia="Calibri" w:hAnsi="Calibri"/>
          <w:sz w:val="18"/>
          <w:szCs w:val="18"/>
        </w:rPr>
        <w:t xml:space="preserve">une seule clé (JWT_SECRET) gouverne aujourd'hui sept mécanismes cryptographiques.</w:t>
      </w:r>
    </w:p>
    <w:p>
      <w:pPr>
        <w:spacing w:after="45"/>
        <w:ind w:left="240" w:hanging="240"/>
        <w:jc w:val="both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Le corpus — </w:t>
      </w:r>
      <w:r>
        <w:rPr>
          <w:rFonts w:ascii="Calibri" w:cs="Calibri" w:eastAsia="Calibri" w:hAnsi="Calibri"/>
          <w:sz w:val="18"/>
          <w:szCs w:val="18"/>
        </w:rPr>
        <w:t xml:space="preserve">traductions validées + fichiers audio. Ce n'est pas une donnée personnelle, mais c'est l'actif économique du projet.</w:t>
      </w:r>
    </w:p>
    <w:p>
      <w:pPr>
        <w:spacing w:after="55" w:before="15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2. Le cœur du système — trois actifs, pas un</w:t>
      </w:r>
    </w:p>
    <w:p>
      <w:pPr>
        <w:spacing w:after="45"/>
        <w:ind w:left="240" w:hanging="240"/>
        <w:jc w:val="both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Le corpus — </w:t>
      </w:r>
      <w:r>
        <w:rPr>
          <w:rFonts w:ascii="Calibri" w:cs="Calibri" w:eastAsia="Calibri" w:hAnsi="Calibri"/>
          <w:sz w:val="18"/>
          <w:szCs w:val="18"/>
        </w:rPr>
        <w:t xml:space="preserve">il se télécharge en un seul fichier ZIP : un unique lien mal protégé suffit à le perdre.</w:t>
      </w:r>
    </w:p>
    <w:p>
      <w:pPr>
        <w:spacing w:after="45"/>
        <w:ind w:left="240" w:hanging="240"/>
        <w:jc w:val="both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L'équité de la compétition — </w:t>
      </w:r>
      <w:r>
        <w:rPr>
          <w:rFonts w:ascii="Calibri" w:cs="Calibri" w:eastAsia="Calibri" w:hAnsi="Calibri"/>
          <w:sz w:val="18"/>
          <w:szCs w:val="18"/>
        </w:rPr>
        <w:t xml:space="preserve">points → classement → prix en ouguiyas. Si l'on peut tricher, le prix est faux et le corpus est pollué.</w:t>
      </w:r>
    </w:p>
    <w:p>
      <w:pPr>
        <w:spacing w:after="45"/>
        <w:ind w:left="240" w:hanging="240"/>
        <w:jc w:val="both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L'identité des contributeurs — </w:t>
      </w:r>
      <w:r>
        <w:rPr>
          <w:rFonts w:ascii="Calibri" w:cs="Calibri" w:eastAsia="Calibri" w:hAnsi="Calibri"/>
          <w:sz w:val="18"/>
          <w:szCs w:val="18"/>
        </w:rPr>
        <w:t xml:space="preserve">voix et NNI. Une fuite ici n'est pas réparable : on ne change ni de voix ni de numéro national.</w:t>
      </w:r>
    </w:p>
    <w:p>
      <w:pPr>
        <w:spacing w:after="60"/>
        <w:jc w:val="both"/>
      </w:pPr>
      <w:r>
        <w:rPr>
          <w:rFonts w:ascii="Calibri" w:cs="Calibri" w:eastAsia="Calibri" w:hAnsi="Calibri"/>
          <w:sz w:val="18"/>
          <w:szCs w:val="18"/>
        </w:rPr>
        <w:t xml:space="preserve">Tout le reste — interface, gamification, espace communautaire — est du confort. La sécurité doit être argumentée à partir de ces trois actifs.</w:t>
      </w:r>
    </w:p>
    <w:p>
      <w:pPr>
        <w:spacing w:after="55" w:before="15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3. Ce qu'il faut surveiller, couche par couche</w:t>
      </w:r>
    </w:p>
    <w:tbl>
      <w:tblPr>
        <w:bidiVisual w:val="false"/>
        <w:tblW w:type="dxa" w:w="9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7000"/>
      </w:tblGrid>
      <w:tr>
        <w:trPr>
          <w:tblHeader/>
        </w:trPr>
        <w:tc>
          <w:tcPr>
            <w:tcW w:type="dxa" w:w="2450"/>
            <w:shd w:fill="E6F4F1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  <w:rtl w:val="false"/>
              </w:rPr>
              <w:t xml:space="preserve">Couche</w:t>
            </w:r>
          </w:p>
        </w:tc>
        <w:tc>
          <w:tcPr>
            <w:tcW w:type="dxa" w:w="7000"/>
            <w:shd w:fill="E6F4F1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  <w:rtl w:val="false"/>
              </w:rPr>
              <w:t xml:space="preserve">Point de vigilance</w:t>
            </w:r>
          </w:p>
        </w:tc>
      </w:tr>
      <w:tr>
        <w:trPr>
          <w:tblHeader w:val="false"/>
        </w:trPr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rtl w:val="false"/>
              </w:rPr>
              <w:t xml:space="preserve">Bord (WAF / CDN)</w:t>
            </w:r>
          </w:p>
        </w:tc>
        <w:tc>
          <w:tcPr>
            <w:tcW w:type="dxa" w:w="70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rtl w:val="false"/>
              </w:rPr>
              <w:t xml:space="preserve">Pare-feu applicatif, limitation de débit et filtrage géographique au bord. Attention : l'accès admin dépend de l'adresse IP transmise par ce bord — le retirer casse le contrôle.</w:t>
            </w:r>
          </w:p>
        </w:tc>
      </w:tr>
      <w:tr>
        <w:trPr>
          <w:tblHeader w:val="false"/>
        </w:trPr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rtl w:val="false"/>
              </w:rPr>
              <w:t xml:space="preserve">Identité et accès</w:t>
            </w:r>
          </w:p>
        </w:tc>
        <w:tc>
          <w:tcPr>
            <w:tcW w:type="dxa" w:w="70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rtl w:val="false"/>
              </w:rPr>
              <w:t xml:space="preserve">Compte administrateur par défaut, absence de double authentification, mot de passe minimal trop court, aucun verrouillage après échecs répétés.</w:t>
            </w:r>
          </w:p>
        </w:tc>
      </w:tr>
      <w:tr>
        <w:trPr>
          <w:tblHeader w:val="false"/>
        </w:trPr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rtl w:val="false"/>
              </w:rPr>
              <w:t xml:space="preserve">Application</w:t>
            </w:r>
          </w:p>
        </w:tc>
        <w:tc>
          <w:tcPr>
            <w:tcW w:type="dxa" w:w="70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rtl w:val="false"/>
              </w:rPr>
              <w:t xml:space="preserve">Lien de téléchargement du corpus non lié à un utilisateur ; le signalement d'une phrase la désactive aussitôt sans quorum ; fichiers communautaires publics sans contrôle de contenu.</w:t>
            </w:r>
          </w:p>
        </w:tc>
      </w:tr>
      <w:tr>
        <w:trPr>
          <w:tblHeader w:val="false"/>
        </w:trPr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rtl w:val="false"/>
              </w:rPr>
              <w:t xml:space="preserve">Données</w:t>
            </w:r>
          </w:p>
        </w:tc>
        <w:tc>
          <w:tcPr>
            <w:tcW w:type="dxa" w:w="70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rtl w:val="false"/>
              </w:rPr>
              <w:t xml:space="preserve">Base joignable sans authentification via le pooler de connexions ; audio et NNI non chiffrés au repos ; sauvegardes locales, en clair, jamais testées.</w:t>
            </w:r>
          </w:p>
        </w:tc>
      </w:tr>
      <w:tr>
        <w:trPr>
          <w:tblHeader w:val="false"/>
        </w:trPr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rtl w:val="false"/>
              </w:rPr>
              <w:t xml:space="preserve">Secrets</w:t>
            </w:r>
          </w:p>
        </w:tc>
        <w:tc>
          <w:tcPr>
            <w:tcW w:type="dxa" w:w="70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rtl w:val="false"/>
              </w:rPr>
              <w:t xml:space="preserve">Un seul secret pour sept usages, aucune séparation, aucune rotation documentée.</w:t>
            </w:r>
          </w:p>
        </w:tc>
      </w:tr>
      <w:tr>
        <w:trPr>
          <w:tblHeader w:val="false"/>
        </w:trPr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rtl w:val="false"/>
              </w:rPr>
              <w:t xml:space="preserve">Journalisation</w:t>
            </w:r>
          </w:p>
        </w:tc>
        <w:tc>
          <w:tcPr>
            <w:tcW w:type="dxa" w:w="70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rtl w:val="false"/>
              </w:rPr>
              <w:t xml:space="preserve">Identité en clair (NNI, WhatsApp, IP) dans les alertes et le journal d'audit ; aucune durée de conservation.</w:t>
            </w:r>
          </w:p>
        </w:tc>
      </w:tr>
      <w:tr>
        <w:trPr>
          <w:tblHeader w:val="false"/>
        </w:trPr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rtl w:val="false"/>
              </w:rPr>
              <w:t xml:space="preserve">Conformité</w:t>
            </w:r>
          </w:p>
        </w:tc>
        <w:tc>
          <w:tcPr>
            <w:tcW w:type="dxa" w:w="70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rtl w:val="false"/>
              </w:rPr>
              <w:t xml:space="preserve">Pas de politique de confidentialité, pas de base légale documentée pour la voix, pas de droit à l'effacement.</w:t>
            </w:r>
          </w:p>
        </w:tc>
      </w:tr>
    </w:tbl>
    <w:p>
      <w:pPr>
        <w:spacing w:after="55" w:before="15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4. Comment le présenter au jury — l'enchaînement logique</w:t>
      </w:r>
    </w:p>
    <w:p>
      <w:pPr>
        <w:spacing w:after="45"/>
        <w:ind w:left="240" w:hanging="240"/>
        <w:jc w:val="both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1. </w:t>
      </w:r>
      <w:r>
        <w:rPr>
          <w:rFonts w:ascii="Calibri" w:cs="Calibri" w:eastAsia="Calibri" w:hAnsi="Calibri"/>
          <w:sz w:val="18"/>
          <w:szCs w:val="18"/>
        </w:rPr>
        <w:t xml:space="preserve">Partir de la valeur, pas de la technique : « voici les trois choses que ce projet ne peut pas perdre ».</w:t>
      </w:r>
    </w:p>
    <w:p>
      <w:pPr>
        <w:spacing w:after="45"/>
        <w:ind w:left="240" w:hanging="240"/>
        <w:jc w:val="both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2. </w:t>
      </w:r>
      <w:r>
        <w:rPr>
          <w:rFonts w:ascii="Calibri" w:cs="Calibri" w:eastAsia="Calibri" w:hAnsi="Calibri"/>
          <w:sz w:val="18"/>
          <w:szCs w:val="18"/>
        </w:rPr>
        <w:t xml:space="preserve">Mettre un adversaire en face de chaque actif : un concurrent qui veut le corpus, un participant qui veut le prix, un tiers qui veut une identité. La sécurité devient la réponse à un intérêt, non une liste de bonnes pratiques.</w:t>
      </w:r>
    </w:p>
    <w:p>
      <w:pPr>
        <w:spacing w:after="45"/>
        <w:ind w:left="240" w:hanging="240"/>
        <w:jc w:val="both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3. </w:t>
      </w:r>
      <w:r>
        <w:rPr>
          <w:rFonts w:ascii="Calibri" w:cs="Calibri" w:eastAsia="Calibri" w:hAnsi="Calibri"/>
          <w:sz w:val="18"/>
          <w:szCs w:val="18"/>
        </w:rPr>
        <w:t xml:space="preserve">Montrer que le diagnostic est vérifiable : chaque constat renvoie à un fichier et une ligne, avec trois statuts seulement — vérifié, à confirmer, absent. Le jury peut contrôler ce qu'on avance.</w:t>
      </w:r>
    </w:p>
    <w:p>
      <w:pPr>
        <w:spacing w:after="45"/>
        <w:ind w:left="240" w:hanging="240"/>
        <w:jc w:val="both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4. </w:t>
      </w:r>
      <w:r>
        <w:rPr>
          <w:rFonts w:ascii="Calibri" w:cs="Calibri" w:eastAsia="Calibri" w:hAnsi="Calibri"/>
          <w:sz w:val="18"/>
          <w:szCs w:val="18"/>
        </w:rPr>
        <w:t xml:space="preserve">Assumer le bilan : quatre points bloquants, 22 critères non prêts sur 41. C'est la franchise du diagnostic qui rend le plan crédible.</w:t>
      </w:r>
    </w:p>
    <w:p>
      <w:pPr>
        <w:spacing w:after="45"/>
        <w:ind w:left="240" w:hanging="240"/>
        <w:jc w:val="both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5. </w:t>
      </w:r>
      <w:r>
        <w:rPr>
          <w:rFonts w:ascii="Calibri" w:cs="Calibri" w:eastAsia="Calibri" w:hAnsi="Calibri"/>
          <w:sz w:val="18"/>
          <w:szCs w:val="18"/>
        </w:rPr>
        <w:t xml:space="preserve">Défendre la nuance : le métier est mûr (anti-fraude, anonymisation, gestion des sessions, aucune injection SQL trouvée). Ce qui manque est l'industrialisation — tests, migrations, secrets, conformité. Ce n'est pas la même conversation.</w:t>
      </w:r>
    </w:p>
    <w:p>
      <w:pPr>
        <w:spacing w:after="45"/>
        <w:ind w:left="240" w:hanging="240"/>
        <w:jc w:val="both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6. </w:t>
      </w:r>
      <w:r>
        <w:rPr>
          <w:rFonts w:ascii="Calibri" w:cs="Calibri" w:eastAsia="Calibri" w:hAnsi="Calibri"/>
          <w:sz w:val="18"/>
          <w:szCs w:val="18"/>
        </w:rPr>
        <w:t xml:space="preserve">Conclure par une trajectoire datée et justifier le multicouche en une phrase : correctifs bloquants 1–2 semaines, industrialisation 3–5, adaptation cloud 4–8, conformité 3–6 ; et aucun contrôle ne tient seul — la protection des accès admin repose aujourd'hui sur une liste d'adresses IP qui s'effondre si l'on retire le bord. Défendre en couches, c'est accepter qu'une couche tombe.</w:t>
      </w:r>
    </w:p>
    <w:p>
      <w:r>
        <w:br w:type="page"/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0F766E"/>
          <w:sz w:val="30"/>
          <w:szCs w:val="30"/>
          <w:rtl/>
        </w:rPr>
        <w:t xml:space="preserve">إلسون — البيانات الحسّاسة، وجوهر النظام، والدفاع أمام اللجنة</w:t>
      </w:r>
    </w:p>
    <w:p>
      <w:pPr>
        <w:pBdr>
          <w:bottom w:val="single" w:color="CCCCCC" w:sz="6" w:space="5"/>
        </w:pBdr>
        <w:bidi/>
        <w:spacing w:after="170"/>
        <w:jc w:val="right"/>
      </w:pPr>
      <w:r>
        <w:rPr>
          <w:rFonts w:ascii="Arial" w:cs="Arial" w:eastAsia="Arial" w:hAnsi="Arial"/>
          <w:i/>
          <w:iCs/>
          <w:color w:val="555555"/>
          <w:sz w:val="17"/>
          <w:szCs w:val="17"/>
          <w:rtl/>
        </w:rPr>
        <w:t xml:space="preserve">ملخّص في صفحة واحدة · مستخرَج من التدقيق التقني للمستودع (٢٠٢٦-٠٧-٢٩)</w:t>
      </w:r>
    </w:p>
    <w:p>
      <w:pPr>
        <w:bidi/>
        <w:spacing w:after="55" w:before="150"/>
        <w:jc w:val="right"/>
      </w:pPr>
      <w:r>
        <w:rPr>
          <w:rFonts w:ascii="Arial" w:cs="Arial" w:eastAsia="Arial" w:hAnsi="Arial"/>
          <w:b/>
          <w:bCs/>
          <w:color w:val="0F766E"/>
          <w:sz w:val="21"/>
          <w:szCs w:val="21"/>
          <w:rtl/>
        </w:rPr>
        <w:t xml:space="preserve">١. ما هو الحسّاس في هذا النظام</w:t>
      </w:r>
    </w:p>
    <w:p>
      <w:pPr>
        <w:bidi/>
        <w:spacing w:after="45"/>
        <w:ind w:right="240" w:hanging="240"/>
        <w:jc w:val="both"/>
      </w:pPr>
      <w:r>
        <w:rPr>
          <w:rFonts w:ascii="Arial" w:cs="Arial" w:eastAsia="Arial" w:hAnsi="Arial"/>
          <w:b/>
          <w:bCs/>
          <w:sz w:val="18"/>
          <w:szCs w:val="18"/>
          <w:rtl/>
        </w:rPr>
        <w:t xml:space="preserve">الصوت — </w:t>
      </w:r>
      <w:r>
        <w:rPr>
          <w:rFonts w:ascii="Arial" w:cs="Arial" w:eastAsia="Arial" w:hAnsi="Arial"/>
          <w:sz w:val="18"/>
          <w:szCs w:val="18"/>
          <w:rtl/>
        </w:rPr>
        <w:t xml:space="preserve">تسجيلات المشاركين بيانات بيومترية، وهي أكثر البيانات حساسية في المشروع. ولا توجد اليوم أي مدة حفظ ولا أي إجراء للحذف.</w:t>
      </w:r>
    </w:p>
    <w:p>
      <w:pPr>
        <w:bidi/>
        <w:spacing w:after="45"/>
        <w:ind w:right="240" w:hanging="240"/>
        <w:jc w:val="both"/>
      </w:pPr>
      <w:r>
        <w:rPr>
          <w:rFonts w:ascii="Arial" w:cs="Arial" w:eastAsia="Arial" w:hAnsi="Arial"/>
          <w:b/>
          <w:bCs/>
          <w:sz w:val="18"/>
          <w:szCs w:val="18"/>
          <w:rtl/>
        </w:rPr>
        <w:t xml:space="preserve">الرقم الوطني للتعريف — </w:t>
      </w:r>
      <w:r>
        <w:rPr>
          <w:rFonts w:ascii="Arial" w:cs="Arial" w:eastAsia="Arial" w:hAnsi="Arial"/>
          <w:sz w:val="18"/>
          <w:szCs w:val="18"/>
          <w:rtl/>
        </w:rPr>
        <w:t xml:space="preserve">معرّف رسمي، فريد لكل حساب، ومخزَّن بدون تشفير.</w:t>
      </w:r>
    </w:p>
    <w:p>
      <w:pPr>
        <w:bidi/>
        <w:spacing w:after="45"/>
        <w:ind w:right="240" w:hanging="240"/>
        <w:jc w:val="both"/>
      </w:pPr>
      <w:r>
        <w:rPr>
          <w:rFonts w:ascii="Arial" w:cs="Arial" w:eastAsia="Arial" w:hAnsi="Arial"/>
          <w:b/>
          <w:bCs/>
          <w:sz w:val="18"/>
          <w:szCs w:val="18"/>
          <w:rtl/>
        </w:rPr>
        <w:t xml:space="preserve">بيانات الاتصال المباشرة — </w:t>
      </w:r>
      <w:r>
        <w:rPr>
          <w:rFonts w:ascii="Arial" w:cs="Arial" w:eastAsia="Arial" w:hAnsi="Arial"/>
          <w:sz w:val="18"/>
          <w:szCs w:val="18"/>
          <w:rtl/>
        </w:rPr>
        <w:t xml:space="preserve">رقم الواتساب، الاسم واللقب، تاريخ الميلاد، البريد الإلكتروني.</w:t>
      </w:r>
    </w:p>
    <w:p>
      <w:pPr>
        <w:bidi/>
        <w:spacing w:after="45"/>
        <w:ind w:right="240" w:hanging="240"/>
        <w:jc w:val="both"/>
      </w:pPr>
      <w:r>
        <w:rPr>
          <w:rFonts w:ascii="Arial" w:cs="Arial" w:eastAsia="Arial" w:hAnsi="Arial"/>
          <w:b/>
          <w:bCs/>
          <w:sz w:val="18"/>
          <w:szCs w:val="18"/>
          <w:rtl/>
        </w:rPr>
        <w:t xml:space="preserve">آثار مكافحة الغش — </w:t>
      </w:r>
      <w:r>
        <w:rPr>
          <w:rFonts w:ascii="Arial" w:cs="Arial" w:eastAsia="Arial" w:hAnsi="Arial"/>
          <w:sz w:val="18"/>
          <w:szCs w:val="18"/>
          <w:rtl/>
        </w:rPr>
        <w:t xml:space="preserve">عنوان الإنترنت عند التسجيل، والبلد والمدينة والمشغّل، وبصمة الجهاز، ودرجة الاحتيال. وهذه الدرجة تؤدي إلى رفض تلقائي للتسجيل، أي أنها قرار آلي.</w:t>
      </w:r>
    </w:p>
    <w:p>
      <w:pPr>
        <w:bidi/>
        <w:spacing w:after="45"/>
        <w:ind w:right="240" w:hanging="240"/>
        <w:jc w:val="both"/>
      </w:pPr>
      <w:r>
        <w:rPr>
          <w:rFonts w:ascii="Arial" w:cs="Arial" w:eastAsia="Arial" w:hAnsi="Arial"/>
          <w:b/>
          <w:bCs/>
          <w:sz w:val="18"/>
          <w:szCs w:val="18"/>
          <w:rtl/>
        </w:rPr>
        <w:t xml:space="preserve">بيانات أطراف ثالثة — </w:t>
      </w:r>
      <w:r>
        <w:rPr>
          <w:rFonts w:ascii="Arial" w:cs="Arial" w:eastAsia="Arial" w:hAnsi="Arial"/>
          <w:sz w:val="18"/>
          <w:szCs w:val="18"/>
          <w:rtl/>
        </w:rPr>
        <w:t xml:space="preserve">جدول «مساعدي المشارك» يسجّل أسماء وأرقام أشخاص لم يمنحوا موافقتهم قط.</w:t>
      </w:r>
    </w:p>
    <w:p>
      <w:pPr>
        <w:bidi/>
        <w:spacing w:after="45"/>
        <w:ind w:right="240" w:hanging="240"/>
        <w:jc w:val="both"/>
      </w:pPr>
      <w:r>
        <w:rPr>
          <w:rFonts w:ascii="Arial" w:cs="Arial" w:eastAsia="Arial" w:hAnsi="Arial"/>
          <w:b/>
          <w:bCs/>
          <w:sz w:val="18"/>
          <w:szCs w:val="18"/>
          <w:rtl/>
        </w:rPr>
        <w:t xml:space="preserve">الأسرار التقنية — </w:t>
      </w:r>
      <w:r>
        <w:rPr>
          <w:rFonts w:ascii="Arial" w:cs="Arial" w:eastAsia="Arial" w:hAnsi="Arial"/>
          <w:sz w:val="18"/>
          <w:szCs w:val="18"/>
          <w:rtl/>
        </w:rPr>
        <w:t xml:space="preserve">مفتاح واحد (JWT_SECRET) يحكم اليوم سبع آليات تشفير.</w:t>
      </w:r>
    </w:p>
    <w:p>
      <w:pPr>
        <w:bidi/>
        <w:spacing w:after="45"/>
        <w:ind w:right="240" w:hanging="240"/>
        <w:jc w:val="both"/>
      </w:pPr>
      <w:r>
        <w:rPr>
          <w:rFonts w:ascii="Arial" w:cs="Arial" w:eastAsia="Arial" w:hAnsi="Arial"/>
          <w:b/>
          <w:bCs/>
          <w:sz w:val="18"/>
          <w:szCs w:val="18"/>
          <w:rtl/>
        </w:rPr>
        <w:t xml:space="preserve">المدونة اللغوية — </w:t>
      </w:r>
      <w:r>
        <w:rPr>
          <w:rFonts w:ascii="Arial" w:cs="Arial" w:eastAsia="Arial" w:hAnsi="Arial"/>
          <w:sz w:val="18"/>
          <w:szCs w:val="18"/>
          <w:rtl/>
        </w:rPr>
        <w:t xml:space="preserve">الترجمات المصادَق عليها مع ملفات الصوت. ليست بيانات شخصية، لكنها الأصل الاقتصادي للمشروع.</w:t>
      </w:r>
    </w:p>
    <w:p>
      <w:pPr>
        <w:bidi/>
        <w:spacing w:after="55" w:before="150"/>
        <w:jc w:val="right"/>
      </w:pPr>
      <w:r>
        <w:rPr>
          <w:rFonts w:ascii="Arial" w:cs="Arial" w:eastAsia="Arial" w:hAnsi="Arial"/>
          <w:b/>
          <w:bCs/>
          <w:color w:val="0F766E"/>
          <w:sz w:val="21"/>
          <w:szCs w:val="21"/>
          <w:rtl/>
        </w:rPr>
        <w:t xml:space="preserve">٢. جوهر النظام — ثلاثة أصول، لا أصل واحد</w:t>
      </w:r>
    </w:p>
    <w:p>
      <w:pPr>
        <w:bidi/>
        <w:spacing w:after="45"/>
        <w:ind w:right="240" w:hanging="240"/>
        <w:jc w:val="both"/>
      </w:pPr>
      <w:r>
        <w:rPr>
          <w:rFonts w:ascii="Arial" w:cs="Arial" w:eastAsia="Arial" w:hAnsi="Arial"/>
          <w:b/>
          <w:bCs/>
          <w:sz w:val="18"/>
          <w:szCs w:val="18"/>
          <w:rtl/>
        </w:rPr>
        <w:t xml:space="preserve">المدونة اللغوية — </w:t>
      </w:r>
      <w:r>
        <w:rPr>
          <w:rFonts w:ascii="Arial" w:cs="Arial" w:eastAsia="Arial" w:hAnsi="Arial"/>
          <w:sz w:val="18"/>
          <w:szCs w:val="18"/>
          <w:rtl/>
        </w:rPr>
        <w:t xml:space="preserve">تُنزَّل في ملف مضغوط واحد، فرابط واحد سيّئ الحماية يكفي لخسارتها.</w:t>
      </w:r>
    </w:p>
    <w:p>
      <w:pPr>
        <w:bidi/>
        <w:spacing w:after="45"/>
        <w:ind w:right="240" w:hanging="240"/>
        <w:jc w:val="both"/>
      </w:pPr>
      <w:r>
        <w:rPr>
          <w:rFonts w:ascii="Arial" w:cs="Arial" w:eastAsia="Arial" w:hAnsi="Arial"/>
          <w:b/>
          <w:bCs/>
          <w:sz w:val="18"/>
          <w:szCs w:val="18"/>
          <w:rtl/>
        </w:rPr>
        <w:t xml:space="preserve">عدالة المسابقة — </w:t>
      </w:r>
      <w:r>
        <w:rPr>
          <w:rFonts w:ascii="Arial" w:cs="Arial" w:eastAsia="Arial" w:hAnsi="Arial"/>
          <w:sz w:val="18"/>
          <w:szCs w:val="18"/>
          <w:rtl/>
        </w:rPr>
        <w:t xml:space="preserve">نقاط ← ترتيب ← جوائز بالأوقية. فإذا أمكن الغش صارت الجائزة زائفة والمدونة ملوَّثة.</w:t>
      </w:r>
    </w:p>
    <w:p>
      <w:pPr>
        <w:bidi/>
        <w:spacing w:after="45"/>
        <w:ind w:right="240" w:hanging="240"/>
        <w:jc w:val="both"/>
      </w:pPr>
      <w:r>
        <w:rPr>
          <w:rFonts w:ascii="Arial" w:cs="Arial" w:eastAsia="Arial" w:hAnsi="Arial"/>
          <w:b/>
          <w:bCs/>
          <w:sz w:val="18"/>
          <w:szCs w:val="18"/>
          <w:rtl/>
        </w:rPr>
        <w:t xml:space="preserve">هوية المشاركين — </w:t>
      </w:r>
      <w:r>
        <w:rPr>
          <w:rFonts w:ascii="Arial" w:cs="Arial" w:eastAsia="Arial" w:hAnsi="Arial"/>
          <w:sz w:val="18"/>
          <w:szCs w:val="18"/>
          <w:rtl/>
        </w:rPr>
        <w:t xml:space="preserve">الصوت والرقم الوطني. تسرّبهما غير قابل للإصلاح: فالمرء لا يغيّر صوته ولا رقمه الوطني.</w:t>
      </w:r>
    </w:p>
    <w:p>
      <w:pPr>
        <w:bidi/>
        <w:spacing w:after="60"/>
        <w:jc w:val="both"/>
      </w:pPr>
      <w:r>
        <w:rPr>
          <w:rFonts w:ascii="Arial" w:cs="Arial" w:eastAsia="Arial" w:hAnsi="Arial"/>
          <w:sz w:val="18"/>
          <w:szCs w:val="18"/>
          <w:rtl/>
        </w:rPr>
        <w:t xml:space="preserve">وما عدا ذلك — الواجهة، وأسلوب اللعب، والمساحة المجتمعية — فهو من الكماليات. والأمن يجب أن يُبرَّر انطلاقًا من هذه الأصول الثلاثة.</w:t>
      </w:r>
    </w:p>
    <w:p>
      <w:pPr>
        <w:bidi/>
        <w:spacing w:after="55" w:before="150"/>
        <w:jc w:val="right"/>
      </w:pPr>
      <w:r>
        <w:rPr>
          <w:rFonts w:ascii="Arial" w:cs="Arial" w:eastAsia="Arial" w:hAnsi="Arial"/>
          <w:b/>
          <w:bCs/>
          <w:color w:val="0F766E"/>
          <w:sz w:val="21"/>
          <w:szCs w:val="21"/>
          <w:rtl/>
        </w:rPr>
        <w:t xml:space="preserve">٣. ما يجب مراقبته، طبقة بطبقة</w:t>
      </w:r>
    </w:p>
    <w:tbl>
      <w:tblPr>
        <w:bidiVisual/>
        <w:tblW w:type="dxa" w:w="9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7000"/>
      </w:tblGrid>
      <w:tr>
        <w:trPr>
          <w:tblHeader/>
        </w:trPr>
        <w:tc>
          <w:tcPr>
            <w:tcW w:type="dxa" w:w="2450"/>
            <w:shd w:fill="E6F4F1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  <w:rtl/>
              </w:rPr>
              <w:t xml:space="preserve">الطبقة</w:t>
            </w:r>
          </w:p>
        </w:tc>
        <w:tc>
          <w:tcPr>
            <w:tcW w:type="dxa" w:w="7000"/>
            <w:shd w:fill="E6F4F1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  <w:rtl/>
              </w:rPr>
              <w:t xml:space="preserve">نقطة اليقظة</w:t>
            </w:r>
          </w:p>
        </w:tc>
      </w:tr>
      <w:tr>
        <w:trPr>
          <w:tblHeader w:val="false"/>
        </w:trPr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الحاجز الخارجي (WAF / CDN)</w:t>
            </w:r>
          </w:p>
        </w:tc>
        <w:tc>
          <w:tcPr>
            <w:tcW w:type="dxa" w:w="70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جدار حماية التطبيقات، وتحديد المعدل، والتصفية الجغرافية عند الحاجز. تنبيه: الوصول الإداري يتوقف على عنوان الإنترنت الذي يمرّره هذا الحاجز، فإزالته تُعطّل الضابط.</w:t>
            </w:r>
          </w:p>
        </w:tc>
      </w:tr>
      <w:tr>
        <w:trPr>
          <w:tblHeader w:val="false"/>
        </w:trPr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الهوية والدخول</w:t>
            </w:r>
          </w:p>
        </w:tc>
        <w:tc>
          <w:tcPr>
            <w:tcW w:type="dxa" w:w="70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حساب مشرف افتراضي، وغياب التحقق بخطوتين، وحد أدنى ضعيف لكلمة السر، ولا قفل للحساب بعد محاولات فاشلة متكررة.</w:t>
            </w:r>
          </w:p>
        </w:tc>
      </w:tr>
      <w:tr>
        <w:trPr>
          <w:tblHeader w:val="false"/>
        </w:trPr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التطبيق</w:t>
            </w:r>
          </w:p>
        </w:tc>
        <w:tc>
          <w:tcPr>
            <w:tcW w:type="dxa" w:w="70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رابط تحميل المدونة غير مرتبط بمستخدم؛ والإبلاغ عن جملة يوقفها فورًا بدون نصاب؛ وملفات المجتمع متاحة للعموم بدون تحقق من المحتوى.</w:t>
            </w:r>
          </w:p>
        </w:tc>
      </w:tr>
      <w:tr>
        <w:trPr>
          <w:tblHeader w:val="false"/>
        </w:trPr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البيانات</w:t>
            </w:r>
          </w:p>
        </w:tc>
        <w:tc>
          <w:tcPr>
            <w:tcW w:type="dxa" w:w="70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قاعدة البيانات يمكن الوصول إليها بدون مصادقة عبر مُجمِّع الاتصالات؛ والصوت والرقم الوطني غير مشفّرين؛ والنسخ الاحتياطية محلية وغير مشفّرة ولم تُختبر.</w:t>
            </w:r>
          </w:p>
        </w:tc>
      </w:tr>
      <w:tr>
        <w:trPr>
          <w:tblHeader w:val="false"/>
        </w:trPr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الأسرار</w:t>
            </w:r>
          </w:p>
        </w:tc>
        <w:tc>
          <w:tcPr>
            <w:tcW w:type="dxa" w:w="70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مفتاح واحد لسبعة استخدامات، بلا فصل، وبلا تدوير موثّق.</w:t>
            </w:r>
          </w:p>
        </w:tc>
      </w:tr>
      <w:tr>
        <w:trPr>
          <w:tblHeader w:val="false"/>
        </w:trPr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السجلات</w:t>
            </w:r>
          </w:p>
        </w:tc>
        <w:tc>
          <w:tcPr>
            <w:tcW w:type="dxa" w:w="70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الهوية بالواضح (الرقم الوطني، الواتساب، عنوان الإنترنت) في التنبيهات وسجل التدقيق، وبلا مدة حفظ.</w:t>
            </w:r>
          </w:p>
        </w:tc>
      </w:tr>
      <w:tr>
        <w:trPr>
          <w:tblHeader w:val="false"/>
        </w:trPr>
        <w:tc>
          <w:tcPr>
            <w:tcW w:type="dxa" w:w="245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الامتثال</w:t>
            </w:r>
          </w:p>
        </w:tc>
        <w:tc>
          <w:tcPr>
            <w:tcW w:type="dxa" w:w="70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لا سياسة خصوصية، ولا أساس قانوني موثّق لمعالجة الصوت، ولا حق في المحو.</w:t>
            </w:r>
          </w:p>
        </w:tc>
      </w:tr>
    </w:tbl>
    <w:p>
      <w:pPr>
        <w:bidi/>
        <w:spacing w:after="55" w:before="150"/>
        <w:jc w:val="right"/>
      </w:pPr>
      <w:r>
        <w:rPr>
          <w:rFonts w:ascii="Arial" w:cs="Arial" w:eastAsia="Arial" w:hAnsi="Arial"/>
          <w:b/>
          <w:bCs/>
          <w:color w:val="0F766E"/>
          <w:sz w:val="21"/>
          <w:szCs w:val="21"/>
          <w:rtl/>
        </w:rPr>
        <w:t xml:space="preserve">٤. كيف نعرضه أمام اللجنة — التسلسل المنطقي</w:t>
      </w:r>
    </w:p>
    <w:p>
      <w:pPr>
        <w:bidi/>
        <w:spacing w:after="45"/>
        <w:ind w:right="240" w:hanging="240"/>
        <w:jc w:val="both"/>
      </w:pPr>
      <w:r>
        <w:rPr>
          <w:rFonts w:ascii="Arial" w:cs="Arial" w:eastAsia="Arial" w:hAnsi="Arial"/>
          <w:b/>
          <w:bCs/>
          <w:sz w:val="18"/>
          <w:szCs w:val="18"/>
          <w:rtl/>
        </w:rPr>
        <w:t xml:space="preserve">١. </w:t>
      </w:r>
      <w:r>
        <w:rPr>
          <w:rFonts w:ascii="Arial" w:cs="Arial" w:eastAsia="Arial" w:hAnsi="Arial"/>
          <w:sz w:val="18"/>
          <w:szCs w:val="18"/>
          <w:rtl/>
        </w:rPr>
        <w:t xml:space="preserve">ابدأ من القيمة لا من التقنية: «هذه هي الأشياء الثلاثة التي لا يمكن لهذا المشروع أن يخسرها».</w:t>
      </w:r>
    </w:p>
    <w:p>
      <w:pPr>
        <w:bidi/>
        <w:spacing w:after="45"/>
        <w:ind w:right="240" w:hanging="240"/>
        <w:jc w:val="both"/>
      </w:pPr>
      <w:r>
        <w:rPr>
          <w:rFonts w:ascii="Arial" w:cs="Arial" w:eastAsia="Arial" w:hAnsi="Arial"/>
          <w:b/>
          <w:bCs/>
          <w:sz w:val="18"/>
          <w:szCs w:val="18"/>
          <w:rtl/>
        </w:rPr>
        <w:t xml:space="preserve">٢. </w:t>
      </w:r>
      <w:r>
        <w:rPr>
          <w:rFonts w:ascii="Arial" w:cs="Arial" w:eastAsia="Arial" w:hAnsi="Arial"/>
          <w:sz w:val="18"/>
          <w:szCs w:val="18"/>
          <w:rtl/>
        </w:rPr>
        <w:t xml:space="preserve">ضع خصمًا مقابل كل أصل: منافس يريد المدونة، ومشارك يريد الجائزة، وطرف يريد هوية. بذلك يصبح الأمن جوابًا على مصلحة قائمة، لا قائمة ممارسات.</w:t>
      </w:r>
    </w:p>
    <w:p>
      <w:pPr>
        <w:bidi/>
        <w:spacing w:after="45"/>
        <w:ind w:right="240" w:hanging="240"/>
        <w:jc w:val="both"/>
      </w:pPr>
      <w:r>
        <w:rPr>
          <w:rFonts w:ascii="Arial" w:cs="Arial" w:eastAsia="Arial" w:hAnsi="Arial"/>
          <w:b/>
          <w:bCs/>
          <w:sz w:val="18"/>
          <w:szCs w:val="18"/>
          <w:rtl/>
        </w:rPr>
        <w:t xml:space="preserve">٣. </w:t>
      </w:r>
      <w:r>
        <w:rPr>
          <w:rFonts w:ascii="Arial" w:cs="Arial" w:eastAsia="Arial" w:hAnsi="Arial"/>
          <w:sz w:val="18"/>
          <w:szCs w:val="18"/>
          <w:rtl/>
        </w:rPr>
        <w:t xml:space="preserve">أظهر أن التشخيص قابل للتحقق: كل ملاحظة تُحيل إلى ملف وسطر، وبثلاث حالات فقط — مُتحقَّق، يحتاج تأكيدًا، غائب. فتستطيع اللجنة مراجعة ما تقول.</w:t>
      </w:r>
    </w:p>
    <w:p>
      <w:pPr>
        <w:bidi/>
        <w:spacing w:after="45"/>
        <w:ind w:right="240" w:hanging="240"/>
        <w:jc w:val="both"/>
      </w:pPr>
      <w:r>
        <w:rPr>
          <w:rFonts w:ascii="Arial" w:cs="Arial" w:eastAsia="Arial" w:hAnsi="Arial"/>
          <w:b/>
          <w:bCs/>
          <w:sz w:val="18"/>
          <w:szCs w:val="18"/>
          <w:rtl/>
        </w:rPr>
        <w:t xml:space="preserve">٤. </w:t>
      </w:r>
      <w:r>
        <w:rPr>
          <w:rFonts w:ascii="Arial" w:cs="Arial" w:eastAsia="Arial" w:hAnsi="Arial"/>
          <w:sz w:val="18"/>
          <w:szCs w:val="18"/>
          <w:rtl/>
        </w:rPr>
        <w:t xml:space="preserve">تحمّل النتيجة: أربع نقاط حاجزة، و٢٢ معيارًا غير جاهز من ٤١. وصراحة التشخيص هي ما يمنح الخطة مصداقيتها.</w:t>
      </w:r>
    </w:p>
    <w:p>
      <w:pPr>
        <w:bidi/>
        <w:spacing w:after="45"/>
        <w:ind w:right="240" w:hanging="240"/>
        <w:jc w:val="both"/>
      </w:pPr>
      <w:r>
        <w:rPr>
          <w:rFonts w:ascii="Arial" w:cs="Arial" w:eastAsia="Arial" w:hAnsi="Arial"/>
          <w:b/>
          <w:bCs/>
          <w:sz w:val="18"/>
          <w:szCs w:val="18"/>
          <w:rtl/>
        </w:rPr>
        <w:t xml:space="preserve">٥. </w:t>
      </w:r>
      <w:r>
        <w:rPr>
          <w:rFonts w:ascii="Arial" w:cs="Arial" w:eastAsia="Arial" w:hAnsi="Arial"/>
          <w:sz w:val="18"/>
          <w:szCs w:val="18"/>
          <w:rtl/>
        </w:rPr>
        <w:t xml:space="preserve">دافع عن التفصيل المهم: الجانب الوظيفي ناضج (مكافحة الغش، وإخفاء الهوية، وإدارة الجلسات، ولا ثغرة حقن SQL). والناقص هو التصنيع: الاختبارات، وترحيل قاعدة البيانات، والأسرار، والامتثال. وهذا نقاش مختلف.</w:t>
      </w:r>
    </w:p>
    <w:p>
      <w:pPr>
        <w:bidi/>
        <w:spacing w:after="45"/>
        <w:ind w:right="240" w:hanging="240"/>
        <w:jc w:val="both"/>
      </w:pPr>
      <w:r>
        <w:rPr>
          <w:rFonts w:ascii="Arial" w:cs="Arial" w:eastAsia="Arial" w:hAnsi="Arial"/>
          <w:b/>
          <w:bCs/>
          <w:sz w:val="18"/>
          <w:szCs w:val="18"/>
          <w:rtl/>
        </w:rPr>
        <w:t xml:space="preserve">٦. </w:t>
      </w:r>
      <w:r>
        <w:rPr>
          <w:rFonts w:ascii="Arial" w:cs="Arial" w:eastAsia="Arial" w:hAnsi="Arial"/>
          <w:sz w:val="18"/>
          <w:szCs w:val="18"/>
          <w:rtl/>
        </w:rPr>
        <w:t xml:space="preserve">اختم بمسار زمني، وبرّر التعدد الطبقي بعبارة واحدة: إصلاح النقاط الحاجزة في ١–٢ أسبوع، والتصنيع في ٣–٥، والتهيئة السحابية في ٤–٨، والامتثال في ٣–٦؛ ولا يصمد أي ضابط أمني وحده — فحماية الدخول الإداري تقوم اليوم على قائمة عناوين إنترنت تنهار إذا أُزيل الحاجز الخارجي. والدفاع بطبقات هو القبول مسبقًا بأن طبقة قد تسقط.</w:t>
      </w:r>
    </w:p>
    <w:sectPr>
      <w:pgSz w:w="11906" w:h="16838" w:orient="portrait"/>
      <w:pgMar w:top="1008" w:right="1224" w:bottom="863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2026-07-30T00:38:36.425Z</dcterms:created>
  <dcterms:modified xsi:type="dcterms:W3CDTF">2026-07-30T00:38:36.440Z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