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Informe_Wallet_Synapxis_{{ID}}</w:t>
      </w:r>
    </w:p>
    <w:p>
      <w:pPr>
        <w:jc w:val="center"/>
      </w:pPr>
      <w:r>
        <w:t>Emitido por: Synapxis — Departamento de Análisis Blockchain</w:t>
        <w:br/>
        <w:t>Documento preliminar — uso interno o académico. No constituye prueba pericial.</w:t>
      </w:r>
    </w:p>
    <w:p>
      <w:r>
        <w:br w:type="page"/>
      </w:r>
    </w:p>
    <w:p>
      <w:r>
        <w:rPr>
          <w:b/>
        </w:rPr>
        <w:t>1. Resumen general</w:t>
      </w:r>
    </w:p>
    <w:p>
      <w:r>
        <w:t>Resumen ejecutivo: (Rellenar)</w:t>
      </w:r>
    </w:p>
    <w:p>
      <w:r>
        <w:t>Tx hash / Address: {{ID}}</w:t>
      </w:r>
    </w:p>
    <w:p>
      <w:r>
        <w:t>Resumen sintetizado de hallazgos.</w:t>
      </w:r>
    </w:p>
    <w:p>
      <w:r>
        <w:rPr>
          <w:b/>
        </w:rPr>
        <w:t>2. Datos básicos de la transacción y wallets relacionadas</w:t>
      </w:r>
    </w:p>
    <w:p>
      <w:r>
        <w:t>• Red: {{NETWORK}}</w:t>
      </w:r>
    </w:p>
    <w:p>
      <w:r>
        <w:t>• Bloque: {{BLOCK}}</w:t>
      </w:r>
    </w:p>
    <w:p>
      <w:r>
        <w:t>• Estado: {{STATUS}}</w:t>
      </w:r>
    </w:p>
    <w:p>
      <w:r>
        <w:t>• Timestamp: {{TIMESTAMP}}</w:t>
      </w:r>
    </w:p>
    <w:p>
      <w:r>
        <w:t>• From (emisor): {{FROM_ADDR}}</w:t>
      </w:r>
    </w:p>
    <w:p>
      <w:r>
        <w:t>• To (contrato): {{TO_ADDR}}</w:t>
      </w:r>
    </w:p>
    <w:p>
      <w:r>
        <w:t>• Saldo estimado (Zapper/Debank): {{BALANCE}}</w:t>
      </w:r>
    </w:p>
    <w:p>
      <w:r>
        <w:rPr>
          <w:b/>
        </w:rPr>
        <w:t>3. Interpretación técnica</w:t>
      </w:r>
    </w:p>
    <w:p>
      <w:r>
        <w:t>Explicación técnica de la transacción y su lógica (transfer, transferFrom, swap, etc.).</w:t>
      </w:r>
    </w:p>
    <w:p>
      <w:r>
        <w:t>Eventos token transfer extraídos (Anexo B).</w:t>
      </w:r>
    </w:p>
    <w:p>
      <w:r>
        <w:t>Notas sobre internal txns y traces si existe.</w:t>
      </w:r>
    </w:p>
    <w:p>
      <w:r>
        <w:rPr>
          <w:b/>
        </w:rPr>
        <w:t>4. Evaluación de riesgo AML</w:t>
      </w:r>
    </w:p>
    <w:p>
      <w:r>
        <w:t>• Indicadores detectados: (ej. origen en exchange, fraccionamiento, mixers)</w:t>
      </w:r>
    </w:p>
    <w:p>
      <w:r>
        <w:t>• Nivel de riesgo: (BAJO/MEDIO/ALTO)</w:t>
      </w:r>
    </w:p>
    <w:p>
      <w:r>
        <w:t>• Recomendaciones AML inmediatas.</w:t>
      </w:r>
    </w:p>
    <w:p>
      <w:r>
        <w:rPr>
          <w:b/>
        </w:rPr>
        <w:t>5. Conclusión interpretativa</w:t>
      </w:r>
    </w:p>
    <w:p>
      <w:r>
        <w:t>La transacción presenta características consistentes con ... (texto interpretativo).</w:t>
      </w:r>
    </w:p>
    <w:p>
      <w:r>
        <w:t>Recomendación final: Confirmar TokenTransfer en PolygonScan / Etherscan.</w:t>
      </w:r>
    </w:p>
    <w:p>
      <w:r>
        <w:rPr>
          <w:b/>
        </w:rPr>
        <w:t>6. Recomendaciones inmediatas</w:t>
      </w:r>
    </w:p>
    <w:p>
      <w:r>
        <w:t>1. Extraer Token Transfer events e Internal Transactions desde el explorador on-chain.</w:t>
      </w:r>
    </w:p>
    <w:p>
      <w:r>
        <w:t>2. Mapear los 10 movimientos siguientes y anteriores.</w:t>
      </w:r>
    </w:p>
    <w:p>
      <w:r>
        <w:t>3. Solicitar KYC al exchange si aplica.</w:t>
      </w:r>
    </w:p>
    <w:p>
      <w:r>
        <w:t>4. Conservar evidencias y CSV adjunto.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