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Informe_Wallet_Synapxis_8624db2ac3ee7c336ca4b438d8fc9434acc153809984e2fd9cc5f432e3ea181b</w:t>
      </w:r>
    </w:p>
    <w:p>
      <w:pPr>
        <w:jc w:val="center"/>
      </w:pPr>
      <w:r>
        <w:t>Emitido por: Synapxis — Departamento de Análisis Blockchain</w:t>
        <w:br/>
        <w:t>Documento preliminar — uso interno o académico. No constituye prueba pericial.</w:t>
      </w:r>
    </w:p>
    <w:p>
      <w:r>
        <w:br w:type="page"/>
      </w:r>
    </w:p>
    <w:p>
      <w:r>
        <w:rPr>
          <w:b/>
        </w:rPr>
        <w:t>1. Resumen general</w:t>
      </w:r>
    </w:p>
    <w:p>
      <w:pPr>
        <w:spacing w:after="80"/>
      </w:pPr>
      <w:r>
        <w:t>Tx hash / Address: 8624db2ac3ee7c336ca4b438d8fc9434acc153809984e2fd9cc5f432e3ea181b</w:t>
      </w:r>
    </w:p>
    <w:p>
      <w:pPr>
        <w:spacing w:after="80"/>
      </w:pPr>
      <w:r>
        <w:t>Red: tron — Estado: Success — Bloque: 76742346</w:t>
      </w:r>
    </w:p>
    <w:p>
      <w:pPr>
        <w:spacing w:after="80"/>
      </w:pPr>
      <w:r>
        <w:t>Timestamp: 2025-10-19 15:29:54 UTC</w:t>
      </w:r>
    </w:p>
    <w:p>
      <w:pPr>
        <w:spacing w:after="80"/>
      </w:pPr>
      <w:r>
        <w:t>Flujo observado: saliente</w:t>
      </w:r>
    </w:p>
    <w:p>
      <w:r>
        <w:rPr>
          <w:b/>
        </w:rPr>
        <w:t>2. Datos básicos de la transacción y wallets relacionadas</w:t>
      </w:r>
    </w:p>
    <w:p>
      <w:pPr>
        <w:spacing w:after="80"/>
      </w:pPr>
      <w:r>
        <w:t>From (emisor): TWubcNbpD66tjJhwZy2PJntng8gz6tHhso</w:t>
      </w:r>
    </w:p>
    <w:p>
      <w:pPr>
        <w:spacing w:after="80"/>
      </w:pPr>
      <w:r>
        <w:t>To (receptor/contrato): TR7NHqjeKQxGTCi8q8ZY4pL8otSzgjLj6t</w:t>
      </w:r>
    </w:p>
    <w:p>
      <w:pPr>
        <w:spacing w:after="80"/>
      </w:pPr>
      <w:r>
        <w:t>Balance FROM (TRON): 47.11837 TRX</w:t>
      </w:r>
    </w:p>
    <w:p>
      <w:pPr>
        <w:spacing w:after="80"/>
      </w:pPr>
      <w:r>
        <w:t>Balance TO (TRON): 1050660.896932 TRX</w:t>
      </w:r>
    </w:p>
    <w:p>
      <w:r>
        <w:rPr>
          <w:b/>
        </w:rPr>
        <w:t>3. Interpretación técnica</w:t>
      </w:r>
    </w:p>
    <w:p>
      <w:pPr>
        <w:spacing w:after="80"/>
      </w:pPr>
      <w:r>
        <w:t>Transacción TRON. Aún no se parsean eventos TRC-20 en esta versión.</w:t>
      </w:r>
    </w:p>
    <w:p>
      <w:r>
        <w:rPr>
          <w:b/>
        </w:rPr>
        <w:t>4. Evaluación de riesgo AML (motor de reglas)</w:t>
      </w:r>
    </w:p>
    <w:p>
      <w:pPr>
        <w:spacing w:after="80"/>
      </w:pPr>
      <w:r>
        <w:t>Score: 15/100  —  Nivel: BAJO</w:t>
      </w:r>
    </w:p>
    <w:p>
      <w:pPr>
        <w:spacing w:after="80"/>
      </w:pPr>
      <w:r>
        <w:t>Motivos:</w:t>
      </w:r>
    </w:p>
    <w:p>
      <w:pPr>
        <w:spacing w:after="80"/>
      </w:pPr>
      <w:r>
        <w:t>• Flujo exclusivamente saliente desde la wallet origen (patrón drenaje).</w:t>
      </w:r>
    </w:p>
    <w:p>
      <w:r>
        <w:rPr>
          <w:b/>
        </w:rPr>
        <w:t>5. Conclusión interpretativa</w:t>
      </w:r>
    </w:p>
    <w:p>
      <w:pPr>
        <w:spacing w:after="80"/>
      </w:pPr>
      <w:r>
        <w:t>Conclusión preliminar basada en los datos extraídos. (Personaliza si activas reglas adicionales).</w:t>
      </w:r>
    </w:p>
    <w:p>
      <w:r>
        <w:rPr>
          <w:b/>
        </w:rPr>
        <w:t>6. Recomendaciones inmediatas</w:t>
      </w:r>
    </w:p>
    <w:p>
      <w:pPr>
        <w:spacing w:after="80"/>
      </w:pPr>
      <w:r>
        <w:t>1) Extraer eventos de transfer e internal tx para evidencias.</w:t>
      </w:r>
    </w:p>
    <w:p>
      <w:pPr>
        <w:spacing w:after="80"/>
      </w:pPr>
      <w:r>
        <w:t>2) Mapear 10 movimientos previos/siguientes de direcciones implicadas.</w:t>
      </w:r>
    </w:p>
    <w:p>
      <w:pPr>
        <w:spacing w:after="80"/>
      </w:pPr>
      <w:r>
        <w:t>3) Marcar flujos hacia/desde exchanges o bridges.</w:t>
      </w:r>
    </w:p>
    <w:p>
      <w:pPr>
        <w:spacing w:after="80"/>
      </w:pPr>
      <w:r>
        <w:t>Anexo A: Timeline</w:t>
      </w:r>
    </w:p>
    <w:p>
      <w:pPr>
        <w:spacing w:after="80"/>
      </w:pPr>
      <w:r>
        <w:t>- 2025-10-19 15:29:54 UTC | tx_confirmed | Block 76742346</w:t>
      </w:r>
    </w:p>
    <w:p>
      <w:pPr>
        <w:spacing w:after="80"/>
      </w:pPr>
      <w:r>
        <w:t>No se detectaron eventos TRC-20 Transfer en el recibo.</w:t>
      </w:r>
    </w:p>
    <w:p/>
    <w:p>
      <w:r>
        <w:rPr>
          <w:i/>
        </w:rPr>
        <w:t>Generado: 2025-10-25 16:51:49 UTC  |  Plantilla Synapxis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