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Arial"/>
          <w:b/>
          <w:sz w:val="32"/>
        </w:rPr>
        <w:t>Informe de Análisis — Wallet / Transacción</w:t>
      </w:r>
    </w:p>
    <w:p>
      <w:r>
        <w:rPr>
          <w:color w:val="000000"/>
          <w:u w:val="single"/>
        </w:rPr>
        <w:t xml:space="preserve"> </w:t>
      </w:r>
    </w:p>
    <w:p>
      <w:r>
        <w:rPr>
          <w:rFonts w:ascii="Arial" w:hAnsi="Arial" w:eastAsia="Arial"/>
          <w:b/>
          <w:sz w:val="24"/>
        </w:rPr>
        <w:t>1. Resumen general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Identificador: </w:t>
      </w:r>
      <w:r>
        <w:rPr>
          <w:rFonts w:ascii="Arial" w:hAnsi="Arial" w:eastAsia="Arial"/>
          <w:sz w:val="20"/>
        </w:rPr>
        <w:t>99069bdabb183e503f43ab13af7670d894e07c3e7b5db153fd9d3137f8f89b5e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Red: </w:t>
      </w:r>
      <w:r>
        <w:rPr>
          <w:rFonts w:ascii="Arial" w:hAnsi="Arial" w:eastAsia="Arial"/>
          <w:sz w:val="20"/>
        </w:rPr>
        <w:t>tron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Bloque: </w:t>
      </w:r>
      <w:r>
        <w:rPr>
          <w:rFonts w:ascii="Arial" w:hAnsi="Arial" w:eastAsia="Arial"/>
          <w:sz w:val="20"/>
        </w:rPr>
        <w:t>76884116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Fecha (UTC): </w:t>
      </w:r>
      <w:r>
        <w:rPr>
          <w:rFonts w:ascii="Arial" w:hAnsi="Arial" w:eastAsia="Arial"/>
          <w:sz w:val="20"/>
        </w:rPr>
        <w:t>2025-10-24 13:40:24 UTC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Estado: </w:t>
      </w:r>
      <w:r>
        <w:rPr>
          <w:rFonts w:ascii="Arial" w:hAnsi="Arial" w:eastAsia="Arial"/>
          <w:sz w:val="20"/>
        </w:rPr>
        <w:t>Success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Riesgo: </w:t>
      </w:r>
      <w:r>
        <w:rPr>
          <w:rFonts w:ascii="Arial" w:hAnsi="Arial" w:eastAsia="Arial"/>
          <w:sz w:val="20"/>
        </w:rPr>
        <w:t>15/100 (BAJO)</w:t>
      </w:r>
    </w:p>
    <w:p>
      <w:r>
        <w:rPr>
          <w:rFonts w:ascii="Arial" w:hAnsi="Arial" w:eastAsia="Arial"/>
          <w:b/>
          <w:sz w:val="24"/>
        </w:rPr>
        <w:t>2. Datos básicos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Origen (from): </w:t>
      </w:r>
      <w:r>
        <w:rPr>
          <w:rFonts w:ascii="Arial" w:hAnsi="Arial" w:eastAsia="Arial"/>
          <w:sz w:val="20"/>
        </w:rPr>
        <w:t>TPjcy7atGcd9WVjhdEkRkdnsWgqaZPaA2e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Destino (to): </w:t>
      </w:r>
      <w:r>
        <w:rPr>
          <w:rFonts w:ascii="Arial" w:hAnsi="Arial" w:eastAsia="Arial"/>
          <w:sz w:val="20"/>
        </w:rPr>
        <w:t>TR7NHqjeKQxGTCi8q8ZY4pL8otSzgjLj6t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Balance TRX: </w:t>
      </w:r>
      <w:r>
        <w:rPr>
          <w:rFonts w:ascii="Arial" w:hAnsi="Arial" w:eastAsia="Arial"/>
          <w:sz w:val="20"/>
        </w:rPr>
        <w:t>874.149301</w:t>
      </w:r>
    </w:p>
    <w:p>
      <w:r>
        <w:rPr>
          <w:rFonts w:ascii="Arial" w:hAnsi="Arial" w:eastAsia="Arial"/>
          <w:b/>
          <w:sz w:val="24"/>
        </w:rPr>
        <w:t>3. Interpretación técnica</w:t>
      </w:r>
    </w:p>
    <w:p>
      <w:pPr>
        <w:pStyle w:val="ListBullet"/>
      </w:pPr>
      <w:r>
        <w:rPr>
          <w:rFonts w:ascii="Arial" w:hAnsi="Arial" w:eastAsia="Arial"/>
          <w:sz w:val="20"/>
        </w:rPr>
        <w:t>Flujo detectado: saliente.</w:t>
      </w:r>
    </w:p>
    <w:p>
      <w:pPr>
        <w:pStyle w:val="ListBullet"/>
      </w:pPr>
      <w:r>
        <w:rPr>
          <w:rFonts w:ascii="Arial" w:hAnsi="Arial" w:eastAsia="Arial"/>
          <w:sz w:val="20"/>
        </w:rPr>
        <w:t>Análisis realizado sobre TRON.</w:t>
      </w:r>
    </w:p>
    <w:p>
      <w:pPr>
        <w:pStyle w:val="ListBullet"/>
      </w:pPr>
      <w:r>
        <w:rPr>
          <w:rFonts w:ascii="Arial" w:hAnsi="Arial" w:eastAsia="Arial"/>
          <w:sz w:val="20"/>
        </w:rPr>
        <w:t>No se detectaron transferencias de tokens en esta captura.</w:t>
      </w:r>
    </w:p>
    <w:p>
      <w:r>
        <w:rPr>
          <w:rFonts w:ascii="Arial" w:hAnsi="Arial" w:eastAsia="Arial"/>
          <w:b/>
          <w:sz w:val="24"/>
        </w:rPr>
        <w:t>4. Evaluación de riesgo</w:t>
      </w:r>
    </w:p>
    <w:p>
      <w:pPr>
        <w:pStyle w:val="ListBullet"/>
      </w:pPr>
      <w:r>
        <w:rPr>
          <w:rFonts w:ascii="Arial" w:hAnsi="Arial" w:eastAsia="Arial"/>
          <w:sz w:val="20"/>
        </w:rPr>
        <w:t>Flujo exclusivamente saliente desde la wallet origen (patrón drenaje).</w:t>
      </w:r>
    </w:p>
    <w:p>
      <w:r>
        <w:rPr>
          <w:rFonts w:ascii="Arial" w:hAnsi="Arial" w:eastAsia="Arial"/>
          <w:b/>
          <w:sz w:val="24"/>
        </w:rPr>
        <w:t>5. Conclusión interpretativa</w:t>
      </w:r>
    </w:p>
    <w:p>
      <w:r>
        <w:rPr>
          <w:rFonts w:ascii="Arial" w:hAnsi="Arial" w:eastAsia="Arial"/>
          <w:sz w:val="20"/>
        </w:rPr>
        <w:t>Nivel de riesgo global: BAJO. Puntuación estimada: 15/100. Este resultado combina coincidencias en listas públicas (si disponibles) y heurísticas on-chain (flujo, actividad, uso de contratos/tokens).</w:t>
      </w:r>
    </w:p>
    <w:p>
      <w:r>
        <w:rPr>
          <w:rFonts w:ascii="Arial" w:hAnsi="Arial" w:eastAsia="Arial"/>
          <w:b/>
          <w:sz w:val="24"/>
        </w:rPr>
        <w:t>6. Recomendaciones inmediatas</w:t>
      </w:r>
    </w:p>
    <w:p>
      <w:pPr>
        <w:pStyle w:val="ListBullet"/>
      </w:pPr>
      <w:r>
        <w:rPr>
          <w:rFonts w:ascii="Arial" w:hAnsi="Arial" w:eastAsia="Arial"/>
          <w:sz w:val="20"/>
        </w:rPr>
        <w:t>Verificar manualmente el destino si el riesgo es MEDIO/ALTO.</w:t>
      </w:r>
    </w:p>
    <w:p>
      <w:pPr>
        <w:pStyle w:val="ListBullet"/>
      </w:pPr>
      <w:r>
        <w:rPr>
          <w:rFonts w:ascii="Arial" w:hAnsi="Arial" w:eastAsia="Arial"/>
          <w:sz w:val="20"/>
        </w:rPr>
        <w:t>Evitar interacción directa con contratos o direcciones marcadas como SCAM/PONZI.</w:t>
      </w:r>
    </w:p>
    <w:p>
      <w:pPr>
        <w:pStyle w:val="ListBullet"/>
      </w:pPr>
      <w:r>
        <w:rPr>
          <w:rFonts w:ascii="Arial" w:hAnsi="Arial" w:eastAsia="Arial"/>
          <w:sz w:val="20"/>
        </w:rPr>
        <w:t>Si la wallet es operativa propia, habilitar alertas y límites de gasto.</w:t>
      </w:r>
    </w:p>
    <w:p>
      <w:r>
        <w:rPr>
          <w:rFonts w:ascii="Arial" w:hAnsi="Arial" w:eastAsia="Arial"/>
          <w:b/>
          <w:sz w:val="24"/>
        </w:rPr>
        <w:t>7. Aclaraciones</w:t>
      </w:r>
    </w:p>
    <w:p>
      <w:pPr>
        <w:pStyle w:val="ListBullet"/>
      </w:pPr>
      <w:r>
        <w:rPr>
          <w:rFonts w:ascii="Arial" w:hAnsi="Arial" w:eastAsia="Arial"/>
          <w:sz w:val="20"/>
        </w:rPr>
        <w:t>N/D: No disponible en la captura o no aplicable al tipo de entrada.</w:t>
      </w:r>
    </w:p>
    <w:p>
      <w:pPr>
        <w:pStyle w:val="ListBullet"/>
      </w:pPr>
      <w:r>
        <w:rPr>
          <w:rFonts w:ascii="Arial" w:hAnsi="Arial" w:eastAsia="Arial"/>
          <w:sz w:val="20"/>
        </w:rPr>
        <w:t>N/A: No aplica para el contexto del dato solicitado.</w:t>
      </w:r>
    </w:p>
    <w:p>
      <w:pPr>
        <w:pStyle w:val="ListBullet"/>
      </w:pPr>
      <w:r>
        <w:rPr>
          <w:rFonts w:ascii="Arial" w:hAnsi="Arial" w:eastAsia="Arial"/>
          <w:sz w:val="20"/>
        </w:rPr>
        <w:t>Este informe refleja la información recabada en el momento de la consulta. La calificación de riesgo puede variar con nuevos eventos en la 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sz w:val="16"/>
      </w:rPr>
      <w:t>Emitido por: Synapxis — Departamento de Análisis Blockchain • 2025-10-28 15:17:55 UTC</w:t>
      <w:br/>
      <w:t>Documento preliminar — uso interno o académico. No constituye prueba pericial.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2647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ynapxi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2647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 w:eastAsia="Arial"/>
        <w:sz w:val="20"/>
      </w:rPr>
      <w:t xml:space="preserve">   SYNAPXIS — Departamento de Análisis Blockchain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