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Informe_Wallet_Synapxis_99069bdabb183e503f43ab13af7670d894e07c3e7b5db153fd9d3137f8f89b5e</w:t>
      </w:r>
    </w:p>
    <w:p>
      <w:pPr>
        <w:jc w:val="center"/>
      </w:pPr>
      <w:r>
        <w:t>Emitido por: Synapxis — Departamento de Análisis Blockchain</w:t>
        <w:br/>
        <w:t>Documento preliminar — uso interno o académico. No constituye prueba pericial.</w:t>
      </w:r>
    </w:p>
    <w:p>
      <w:r>
        <w:br w:type="page"/>
      </w:r>
    </w:p>
    <w:p>
      <w:r>
        <w:rPr>
          <w:b/>
        </w:rPr>
        <w:t>1. Resumen general</w:t>
      </w:r>
    </w:p>
    <w:p>
      <w:pPr>
        <w:spacing w:after="80"/>
      </w:pPr>
      <w:r>
        <w:t>Tx hash / Address: 99069bdabb183e503f43ab13af7670d894e07c3e7b5db153fd9d3137f8f89b5e</w:t>
      </w:r>
    </w:p>
    <w:p>
      <w:pPr>
        <w:spacing w:after="80"/>
      </w:pPr>
      <w:r>
        <w:t>Red: tron — Estado: Success — Bloque: 76884116</w:t>
      </w:r>
    </w:p>
    <w:p>
      <w:pPr>
        <w:spacing w:after="80"/>
      </w:pPr>
      <w:r>
        <w:t>Timestamp: 2025-10-24 13:40:24 UTC</w:t>
      </w:r>
    </w:p>
    <w:p>
      <w:pPr>
        <w:spacing w:after="80"/>
      </w:pPr>
      <w:r>
        <w:t>Flujo observado: saliente</w:t>
      </w:r>
    </w:p>
    <w:p>
      <w:r>
        <w:rPr>
          <w:b/>
        </w:rPr>
        <w:t>2. Datos básicos de la transacción y wallets relacionadas</w:t>
      </w:r>
    </w:p>
    <w:p>
      <w:pPr>
        <w:spacing w:after="80"/>
      </w:pPr>
      <w:r>
        <w:t>From (emisor): TPjcy7atGcd9WVjhdEkRkdnsWgqaZPaA2e</w:t>
      </w:r>
    </w:p>
    <w:p>
      <w:pPr>
        <w:spacing w:after="80"/>
      </w:pPr>
      <w:r>
        <w:t>To (receptor/contrato): TR7NHqjeKQxGTCi8q8ZY4pL8otSzgjLj6t</w:t>
      </w:r>
    </w:p>
    <w:p>
      <w:pPr>
        <w:spacing w:after="80"/>
      </w:pPr>
      <w:r>
        <w:t>Balance FROM (TRON): 893.124235 TRX</w:t>
      </w:r>
    </w:p>
    <w:p>
      <w:pPr>
        <w:spacing w:after="80"/>
      </w:pPr>
      <w:r>
        <w:t>Balance TO (TRON): 1050673.697126 TRX</w:t>
      </w:r>
    </w:p>
    <w:p>
      <w:r>
        <w:rPr>
          <w:b/>
        </w:rPr>
        <w:t>3. Interpretación técnica</w:t>
      </w:r>
    </w:p>
    <w:p>
      <w:pPr>
        <w:spacing w:after="80"/>
      </w:pPr>
      <w:r>
        <w:t>Transacción TRON. Aún no se parsean eventos TRC-20 en esta versión.</w:t>
      </w:r>
    </w:p>
    <w:p>
      <w:r>
        <w:rPr>
          <w:b/>
        </w:rPr>
        <w:t>4. Evaluación de riesgo AML (motor de reglas)</w:t>
      </w:r>
    </w:p>
    <w:p>
      <w:pPr>
        <w:spacing w:after="80"/>
      </w:pPr>
      <w:r>
        <w:t>Score: 15/100  —  Nivel: BAJO</w:t>
      </w:r>
    </w:p>
    <w:p>
      <w:pPr>
        <w:spacing w:after="80"/>
      </w:pPr>
      <w:r>
        <w:t>Motivos:</w:t>
      </w:r>
    </w:p>
    <w:p>
      <w:pPr>
        <w:spacing w:after="80"/>
      </w:pPr>
      <w:r>
        <w:t>• Flujo exclusivamente saliente desde la wallet origen (patrón drenaje).</w:t>
      </w:r>
    </w:p>
    <w:p>
      <w:r>
        <w:rPr>
          <w:b/>
        </w:rPr>
        <w:t>5. Conclusión interpretativa</w:t>
      </w:r>
    </w:p>
    <w:p>
      <w:pPr>
        <w:spacing w:after="80"/>
      </w:pPr>
      <w:r>
        <w:t>Conclusión preliminar basada en los datos extraídos. (Personaliza si activas reglas adicionales).</w:t>
      </w:r>
    </w:p>
    <w:p>
      <w:r>
        <w:rPr>
          <w:b/>
        </w:rPr>
        <w:t>6. Recomendaciones inmediatas</w:t>
      </w:r>
    </w:p>
    <w:p>
      <w:pPr>
        <w:spacing w:after="80"/>
      </w:pPr>
      <w:r>
        <w:t>1) Extraer eventos de transfer e internal tx para evidencias.</w:t>
      </w:r>
    </w:p>
    <w:p>
      <w:pPr>
        <w:spacing w:after="80"/>
      </w:pPr>
      <w:r>
        <w:t>2) Mapear 10 movimientos previos/siguientes de direcciones implicadas.</w:t>
      </w:r>
    </w:p>
    <w:p>
      <w:pPr>
        <w:spacing w:after="80"/>
      </w:pPr>
      <w:r>
        <w:t>3) Marcar flujos hacia/desde exchanges o bridges.</w:t>
      </w:r>
    </w:p>
    <w:p>
      <w:pPr>
        <w:spacing w:after="80"/>
      </w:pPr>
      <w:r>
        <w:t>Anexo A: Timeline</w:t>
      </w:r>
    </w:p>
    <w:p>
      <w:pPr>
        <w:spacing w:after="80"/>
      </w:pPr>
      <w:r>
        <w:t>- 2025-10-24 13:40:24 UTC | tx_confirmed | Block 76884116</w:t>
      </w:r>
    </w:p>
    <w:p>
      <w:pPr>
        <w:spacing w:after="80"/>
      </w:pPr>
      <w:r>
        <w:t>No se detectaron eventos TRC-20 Transfer en el recibo.</w:t>
      </w:r>
    </w:p>
    <w:p/>
    <w:p>
      <w:r>
        <w:rPr>
          <w:i/>
        </w:rPr>
        <w:t>Generado: 2025-10-27 16:39:11 UTC  |  Plantilla Synapxis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