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Arial"/>
          <w:b/>
          <w:sz w:val="32"/>
        </w:rPr>
        <w:t>Informe de Análisis — Wallet / Transacción</w:t>
      </w:r>
    </w:p>
    <w:p>
      <w:r>
        <w:rPr>
          <w:color w:val="000000"/>
          <w:u w:val="single"/>
        </w:rPr>
        <w:t xml:space="preserve"> </w:t>
      </w:r>
    </w:p>
    <w:p>
      <w:r>
        <w:rPr>
          <w:rFonts w:ascii="Arial" w:hAnsi="Arial" w:eastAsia="Arial"/>
          <w:b/>
          <w:sz w:val="24"/>
        </w:rPr>
        <w:t>1. Resumen general</w:t>
      </w:r>
    </w:p>
    <w:p>
      <w:pPr>
        <w:spacing w:after="20"/>
      </w:pPr>
      <w:r>
        <w:rPr>
          <w:rFonts w:ascii="Arial" w:hAnsi="Arial" w:eastAsia="Arial"/>
          <w:b/>
          <w:sz w:val="20"/>
        </w:rPr>
        <w:t xml:space="preserve">Identificador: </w:t>
      </w:r>
      <w:r>
        <w:rPr>
          <w:rFonts w:ascii="Arial" w:hAnsi="Arial" w:eastAsia="Arial"/>
          <w:sz w:val="20"/>
        </w:rPr>
        <w:t>TJRy6ePyvPYDJ2vG6WrpUqD3H3iCrXfYpu</w:t>
      </w:r>
    </w:p>
    <w:p>
      <w:pPr>
        <w:spacing w:after="20"/>
      </w:pPr>
      <w:r>
        <w:rPr>
          <w:rFonts w:ascii="Arial" w:hAnsi="Arial" w:eastAsia="Arial"/>
          <w:b/>
          <w:sz w:val="20"/>
        </w:rPr>
        <w:t xml:space="preserve">Red: </w:t>
      </w:r>
      <w:r>
        <w:rPr>
          <w:rFonts w:ascii="Arial" w:hAnsi="Arial" w:eastAsia="Arial"/>
          <w:sz w:val="20"/>
        </w:rPr>
        <w:t>tron</w:t>
      </w:r>
    </w:p>
    <w:p>
      <w:pPr>
        <w:spacing w:after="20"/>
      </w:pPr>
      <w:r>
        <w:rPr>
          <w:rFonts w:ascii="Arial" w:hAnsi="Arial" w:eastAsia="Arial"/>
          <w:b/>
          <w:sz w:val="20"/>
        </w:rPr>
        <w:t xml:space="preserve">Bloque: </w:t>
      </w:r>
      <w:r>
        <w:rPr>
          <w:rFonts w:ascii="Arial" w:hAnsi="Arial" w:eastAsia="Arial"/>
          <w:sz w:val="20"/>
        </w:rPr>
        <w:t>N/A</w:t>
      </w:r>
    </w:p>
    <w:p>
      <w:pPr>
        <w:spacing w:after="20"/>
      </w:pPr>
      <w:r>
        <w:rPr>
          <w:rFonts w:ascii="Arial" w:hAnsi="Arial" w:eastAsia="Arial"/>
          <w:b/>
          <w:sz w:val="20"/>
        </w:rPr>
        <w:t xml:space="preserve">Fecha (UTC): </w:t>
      </w:r>
      <w:r>
        <w:rPr>
          <w:rFonts w:ascii="Arial" w:hAnsi="Arial" w:eastAsia="Arial"/>
          <w:sz w:val="20"/>
        </w:rPr>
        <w:t>2025-10-28 15:18:27 UTC</w:t>
      </w:r>
    </w:p>
    <w:p>
      <w:pPr>
        <w:spacing w:after="20"/>
      </w:pPr>
      <w:r>
        <w:rPr>
          <w:rFonts w:ascii="Arial" w:hAnsi="Arial" w:eastAsia="Arial"/>
          <w:b/>
          <w:sz w:val="20"/>
        </w:rPr>
        <w:t xml:space="preserve">Estado: </w:t>
      </w:r>
      <w:r>
        <w:rPr>
          <w:rFonts w:ascii="Arial" w:hAnsi="Arial" w:eastAsia="Arial"/>
          <w:sz w:val="20"/>
        </w:rPr>
        <w:t>N/A</w:t>
      </w:r>
    </w:p>
    <w:p>
      <w:pPr>
        <w:spacing w:after="20"/>
      </w:pPr>
      <w:r>
        <w:rPr>
          <w:rFonts w:ascii="Arial" w:hAnsi="Arial" w:eastAsia="Arial"/>
          <w:b/>
          <w:sz w:val="20"/>
        </w:rPr>
        <w:t xml:space="preserve">Riesgo: </w:t>
      </w:r>
      <w:r>
        <w:rPr>
          <w:rFonts w:ascii="Arial" w:hAnsi="Arial" w:eastAsia="Arial"/>
          <w:sz w:val="20"/>
        </w:rPr>
        <w:t>0/100 (BAJO)</w:t>
      </w:r>
    </w:p>
    <w:p>
      <w:r>
        <w:rPr>
          <w:rFonts w:ascii="Arial" w:hAnsi="Arial" w:eastAsia="Arial"/>
          <w:b/>
          <w:sz w:val="24"/>
        </w:rPr>
        <w:t>2. Datos básicos</w:t>
      </w:r>
    </w:p>
    <w:p>
      <w:pPr>
        <w:spacing w:after="20"/>
      </w:pPr>
      <w:r>
        <w:rPr>
          <w:rFonts w:ascii="Arial" w:hAnsi="Arial" w:eastAsia="Arial"/>
          <w:b/>
          <w:sz w:val="20"/>
        </w:rPr>
        <w:t xml:space="preserve">Origen (from): </w:t>
      </w:r>
      <w:r>
        <w:rPr>
          <w:rFonts w:ascii="Arial" w:hAnsi="Arial" w:eastAsia="Arial"/>
          <w:sz w:val="20"/>
        </w:rPr>
        <w:t>TJRy6ePyvPYDJ2vG6WrpUqD3H3iCrXfYpu</w:t>
      </w:r>
    </w:p>
    <w:p>
      <w:pPr>
        <w:spacing w:after="20"/>
      </w:pPr>
      <w:r>
        <w:rPr>
          <w:rFonts w:ascii="Arial" w:hAnsi="Arial" w:eastAsia="Arial"/>
          <w:b/>
          <w:sz w:val="20"/>
        </w:rPr>
        <w:t xml:space="preserve">Destino (to): </w:t>
      </w:r>
      <w:r>
        <w:rPr>
          <w:rFonts w:ascii="Arial" w:hAnsi="Arial" w:eastAsia="Arial"/>
          <w:sz w:val="20"/>
        </w:rPr>
        <w:t>N/A</w:t>
      </w:r>
    </w:p>
    <w:p>
      <w:r>
        <w:rPr>
          <w:rFonts w:ascii="Arial" w:hAnsi="Arial" w:eastAsia="Arial"/>
          <w:b/>
          <w:sz w:val="24"/>
        </w:rPr>
        <w:t>3. Interpretación técnica</w:t>
      </w:r>
    </w:p>
    <w:p>
      <w:pPr>
        <w:pStyle w:val="ListBullet"/>
      </w:pPr>
      <w:r>
        <w:rPr>
          <w:rFonts w:ascii="Arial" w:hAnsi="Arial" w:eastAsia="Arial"/>
          <w:sz w:val="20"/>
        </w:rPr>
        <w:t>Flujo detectado: N/D.</w:t>
      </w:r>
    </w:p>
    <w:p>
      <w:pPr>
        <w:pStyle w:val="ListBullet"/>
      </w:pPr>
      <w:r>
        <w:rPr>
          <w:rFonts w:ascii="Arial" w:hAnsi="Arial" w:eastAsia="Arial"/>
          <w:sz w:val="20"/>
        </w:rPr>
        <w:t>Análisis realizado sobre TRON.</w:t>
      </w:r>
    </w:p>
    <w:p>
      <w:pPr>
        <w:pStyle w:val="ListBullet"/>
      </w:pPr>
      <w:r>
        <w:rPr>
          <w:rFonts w:ascii="Arial" w:hAnsi="Arial" w:eastAsia="Arial"/>
          <w:sz w:val="20"/>
        </w:rPr>
        <w:t>No se detectaron transferencias de tokens en esta captura.</w:t>
      </w:r>
    </w:p>
    <w:p>
      <w:r>
        <w:rPr>
          <w:rFonts w:ascii="Arial" w:hAnsi="Arial" w:eastAsia="Arial"/>
          <w:b/>
          <w:sz w:val="24"/>
        </w:rPr>
        <w:t>4. Evaluación de riesgo</w:t>
      </w:r>
    </w:p>
    <w:p>
      <w:pPr>
        <w:pStyle w:val="ListBullet"/>
      </w:pPr>
      <w:r>
        <w:rPr>
          <w:rFonts w:ascii="Arial" w:hAnsi="Arial" w:eastAsia="Arial"/>
          <w:sz w:val="20"/>
        </w:rPr>
        <w:t>Sin señales relevantes con las reglas actuales.</w:t>
      </w:r>
    </w:p>
    <w:p>
      <w:r>
        <w:rPr>
          <w:rFonts w:ascii="Arial" w:hAnsi="Arial" w:eastAsia="Arial"/>
          <w:b/>
          <w:sz w:val="24"/>
        </w:rPr>
        <w:t>5. Conclusión interpretativa</w:t>
      </w:r>
    </w:p>
    <w:p>
      <w:r>
        <w:rPr>
          <w:rFonts w:ascii="Arial" w:hAnsi="Arial" w:eastAsia="Arial"/>
          <w:sz w:val="20"/>
        </w:rPr>
        <w:t>Nivel de riesgo global: BAJO. Puntuación estimada: 0/100. Este resultado combina coincidencias en listas públicas (si disponibles) y heurísticas on-chain (flujo, actividad, uso de contratos/tokens).</w:t>
      </w:r>
    </w:p>
    <w:p>
      <w:r>
        <w:rPr>
          <w:rFonts w:ascii="Arial" w:hAnsi="Arial" w:eastAsia="Arial"/>
          <w:b/>
          <w:sz w:val="24"/>
        </w:rPr>
        <w:t>6. Recomendaciones inmediatas</w:t>
      </w:r>
    </w:p>
    <w:p>
      <w:pPr>
        <w:pStyle w:val="ListBullet"/>
      </w:pPr>
      <w:r>
        <w:rPr>
          <w:rFonts w:ascii="Arial" w:hAnsi="Arial" w:eastAsia="Arial"/>
          <w:sz w:val="20"/>
        </w:rPr>
        <w:t>Verificar manualmente el destino si el riesgo es MEDIO/ALTO.</w:t>
      </w:r>
    </w:p>
    <w:p>
      <w:pPr>
        <w:pStyle w:val="ListBullet"/>
      </w:pPr>
      <w:r>
        <w:rPr>
          <w:rFonts w:ascii="Arial" w:hAnsi="Arial" w:eastAsia="Arial"/>
          <w:sz w:val="20"/>
        </w:rPr>
        <w:t>Evitar interacción directa con contratos o direcciones marcadas como SCAM/PONZI.</w:t>
      </w:r>
    </w:p>
    <w:p>
      <w:pPr>
        <w:pStyle w:val="ListBullet"/>
      </w:pPr>
      <w:r>
        <w:rPr>
          <w:rFonts w:ascii="Arial" w:hAnsi="Arial" w:eastAsia="Arial"/>
          <w:sz w:val="20"/>
        </w:rPr>
        <w:t>Si la wallet es operativa propia, habilitar alertas y límites de gasto.</w:t>
      </w:r>
    </w:p>
    <w:p>
      <w:r>
        <w:rPr>
          <w:rFonts w:ascii="Arial" w:hAnsi="Arial" w:eastAsia="Arial"/>
          <w:b/>
          <w:sz w:val="24"/>
        </w:rPr>
        <w:t>7. Aclaraciones</w:t>
      </w:r>
    </w:p>
    <w:p>
      <w:pPr>
        <w:pStyle w:val="ListBullet"/>
      </w:pPr>
      <w:r>
        <w:rPr>
          <w:rFonts w:ascii="Arial" w:hAnsi="Arial" w:eastAsia="Arial"/>
          <w:sz w:val="20"/>
        </w:rPr>
        <w:t>N/D: No disponible en la captura o no aplicable al tipo de entrada.</w:t>
      </w:r>
    </w:p>
    <w:p>
      <w:pPr>
        <w:pStyle w:val="ListBullet"/>
      </w:pPr>
      <w:r>
        <w:rPr>
          <w:rFonts w:ascii="Arial" w:hAnsi="Arial" w:eastAsia="Arial"/>
          <w:sz w:val="20"/>
        </w:rPr>
        <w:t>N/A: No aplica para el contexto del dato solicitado.</w:t>
      </w:r>
    </w:p>
    <w:p>
      <w:pPr>
        <w:pStyle w:val="ListBullet"/>
      </w:pPr>
      <w:r>
        <w:rPr>
          <w:rFonts w:ascii="Arial" w:hAnsi="Arial" w:eastAsia="Arial"/>
          <w:sz w:val="20"/>
        </w:rPr>
        <w:t>Este informe refleja la información recabada en el momento de la consulta. La calificación de riesgo puede variar con nuevos eventos en la red.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sz w:val="16"/>
      </w:rPr>
      <w:t>Emitido por: Synapxis — Departamento de Análisis Blockchain • 2025-10-28 15:18:28 UTC</w:t>
      <w:br/>
      <w:t>Documento preliminar — uso interno o académico. No constituye prueba pericial.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05840" cy="26476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ynapxis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26476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 w:eastAsia="Arial"/>
        <w:sz w:val="20"/>
      </w:rPr>
      <w:t xml:space="preserve">   SYNAPXIS — Departamento de Análisis Blockchain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