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color w:val="000000"/>
          <w:sz w:val="36"/>
        </w:rPr>
        <w:t>SUMMER INTERNSHIP PROJECT REPORT</w:t>
        <w:br/>
        <w:br/>
        <w:br/>
      </w:r>
    </w:p>
    <w:p>
      <w:pPr>
        <w:jc w:val="center"/>
      </w:pPr>
      <w:r>
        <w:rPr>
          <w:rFonts w:ascii="Times New Roman" w:hAnsi="Times New Roman"/>
          <w:b/>
          <w:i w:val="0"/>
          <w:color w:val="000000"/>
          <w:sz w:val="40"/>
        </w:rPr>
        <w:t>AUTOMATED PHI/PII REDACTION PIPELINE FOR LLMs</w:t>
        <w:br/>
        <w:br/>
        <w:br/>
        <w:br/>
      </w:r>
    </w:p>
    <w:p>
      <w:pPr>
        <w:jc w:val="center"/>
      </w:pPr>
      <w:r>
        <w:rPr>
          <w:rFonts w:ascii="Times New Roman" w:hAnsi="Times New Roman"/>
          <w:b w:val="0"/>
          <w:i/>
          <w:color w:val="000000"/>
          <w:sz w:val="22"/>
        </w:rPr>
        <w:t>Submitted in partial fulfillment of the requirements for the degree of</w:t>
        <w:br/>
      </w:r>
      <w:r>
        <w:rPr>
          <w:rFonts w:ascii="Times New Roman" w:hAnsi="Times New Roman"/>
          <w:b/>
          <w:i w:val="0"/>
          <w:color w:val="000000"/>
          <w:sz w:val="24"/>
        </w:rPr>
        <w:t>Bachelor of Technology in Computer Science and Engineering</w:t>
        <w:br/>
        <w:br/>
        <w:br/>
      </w:r>
    </w:p>
    <w:p>
      <w:pPr>
        <w:jc w:val="center"/>
      </w:pPr>
      <w:r>
        <w:rPr>
          <w:rFonts w:ascii="Times New Roman" w:hAnsi="Times New Roman"/>
          <w:b w:val="0"/>
          <w:i/>
          <w:color w:val="000000"/>
          <w:sz w:val="22"/>
        </w:rPr>
        <w:t>Submitted by:</w:t>
        <w:br/>
      </w:r>
      <w:r>
        <w:rPr>
          <w:rFonts w:ascii="Times New Roman" w:hAnsi="Times New Roman"/>
          <w:b/>
          <w:i w:val="0"/>
          <w:color w:val="000000"/>
          <w:sz w:val="28"/>
        </w:rPr>
        <w:t>Patel Mantra Kalpeshkumar (24DCS076)</w:t>
        <w:br/>
        <w:br/>
        <w:br/>
        <w:br/>
      </w:r>
    </w:p>
    <w:p>
      <w:pPr>
        <w:jc w:val="center"/>
      </w:pPr>
      <w:r>
        <w:rPr>
          <w:rFonts w:ascii="Times New Roman" w:hAnsi="Times New Roman"/>
          <w:b w:val="0"/>
          <w:i/>
          <w:color w:val="000000"/>
          <w:sz w:val="22"/>
        </w:rPr>
        <w:t>Under the guidance of:</w:t>
        <w:br/>
      </w:r>
      <w:r>
        <w:rPr>
          <w:rFonts w:ascii="Times New Roman" w:hAnsi="Times New Roman"/>
          <w:b/>
          <w:i w:val="0"/>
          <w:color w:val="000000"/>
          <w:sz w:val="24"/>
        </w:rPr>
        <w:t>Dr. Khushi Patel (Internal Guide)</w:t>
        <w:br/>
      </w:r>
      <w:r>
        <w:rPr>
          <w:rFonts w:ascii="Times New Roman" w:hAnsi="Times New Roman"/>
          <w:b/>
          <w:i w:val="0"/>
          <w:color w:val="000000"/>
          <w:sz w:val="24"/>
        </w:rPr>
        <w:t>Chandan Mishra (External Mentor, Infotact Solutions)</w:t>
        <w:br/>
        <w:br/>
        <w:br/>
        <w:br/>
      </w:r>
    </w:p>
    <w:p>
      <w:pPr>
        <w:jc w:val="center"/>
      </w:pPr>
      <w:r>
        <w:rPr>
          <w:rFonts w:ascii="Times New Roman" w:hAnsi="Times New Roman"/>
          <w:b/>
          <w:i w:val="0"/>
          <w:color w:val="000000"/>
          <w:sz w:val="24"/>
        </w:rPr>
        <w:t>DEVANG PATEL INSTITUTE OF ADVANCE TECHNOLOGY AND RESEARCH (DEPSTAR)</w:t>
        <w:br/>
      </w:r>
      <w:r>
        <w:rPr>
          <w:rFonts w:ascii="Times New Roman" w:hAnsi="Times New Roman"/>
          <w:b/>
          <w:i w:val="0"/>
          <w:color w:val="000000"/>
          <w:sz w:val="24"/>
        </w:rPr>
        <w:t>Charotar University of Science and Technology (CHARUSAT)</w:t>
        <w:br/>
      </w:r>
      <w:r>
        <w:rPr>
          <w:rFonts w:ascii="Times New Roman" w:hAnsi="Times New Roman"/>
          <w:b w:val="0"/>
          <w:i w:val="0"/>
          <w:color w:val="000000"/>
          <w:sz w:val="22"/>
        </w:rPr>
        <w:t>July, 2026</w:t>
        <w:br/>
      </w:r>
    </w:p>
    <w:p>
      <w:r>
        <w:br w:type="page"/>
      </w:r>
    </w:p>
    <w:p>
      <w:pPr>
        <w:jc w:val="center"/>
      </w:pPr>
      <w:r>
        <w:rPr>
          <w:rFonts w:ascii="Times New Roman" w:hAnsi="Times New Roman"/>
          <w:b/>
          <w:i w:val="0"/>
          <w:color w:val="000000"/>
          <w:sz w:val="28"/>
        </w:rPr>
        <w:t>DEVANG PATEL INSTITUTE OF ADVANCE TECHNOLOGY AND RESEARCH</w:t>
        <w:br/>
      </w:r>
      <w:r>
        <w:rPr>
          <w:rFonts w:ascii="Times New Roman" w:hAnsi="Times New Roman"/>
          <w:b/>
          <w:i w:val="0"/>
          <w:color w:val="000000"/>
          <w:sz w:val="24"/>
        </w:rPr>
        <w:t>DEPARTMENT OF COMPUTER SCIENCE AND ENGINEERING</w:t>
        <w:br/>
        <w:br/>
        <w:br/>
      </w:r>
    </w:p>
    <w:p>
      <w:pPr>
        <w:jc w:val="center"/>
      </w:pPr>
      <w:r>
        <w:rPr>
          <w:rFonts w:ascii="Times New Roman" w:hAnsi="Times New Roman"/>
          <w:b/>
          <w:i w:val="0"/>
          <w:color w:val="000000"/>
          <w:sz w:val="32"/>
        </w:rPr>
        <w:t>CERTIFICATE</w:t>
        <w:br/>
        <w:br/>
        <w:br/>
      </w:r>
    </w:p>
    <w:p>
      <w:pPr>
        <w:spacing w:line="360" w:lineRule="auto" w:after="240"/>
        <w:jc w:val="both"/>
      </w:pPr>
      <w:r>
        <w:rPr>
          <w:rFonts w:ascii="Times New Roman" w:hAnsi="Times New Roman"/>
          <w:b w:val="0"/>
          <w:i w:val="0"/>
          <w:color w:val="000000"/>
          <w:sz w:val="24"/>
        </w:rPr>
        <w:t>This is to certify that the internship report titled "Automated PHI/PII Redaction Pipeline for LLMs" is a bonafide work carried out by Patel Mantra Kalpeshkumar (24DCS076) under my supervision and guidance during the summer internship period. The work has been carried out satisfactorily and meets the academic requirements for the degree of Bachelor of Technology in Computer Science and Engineering.</w:t>
      </w:r>
    </w:p>
    <w:p/>
    <w:p/>
    <w:p/>
    <w:p/>
    <w:p>
      <w:pPr>
        <w:jc w:val="both"/>
      </w:pPr>
      <w:r>
        <w:rPr>
          <w:rFonts w:ascii="Times New Roman" w:hAnsi="Times New Roman"/>
          <w:b/>
          <w:i w:val="0"/>
          <w:color w:val="000000"/>
          <w:sz w:val="24"/>
        </w:rPr>
        <w:t>____________________                                           ____________________</w:t>
        <w:br/>
      </w:r>
      <w:r>
        <w:rPr>
          <w:rFonts w:ascii="Times New Roman" w:hAnsi="Times New Roman"/>
          <w:b/>
          <w:i w:val="0"/>
          <w:color w:val="000000"/>
          <w:sz w:val="24"/>
        </w:rPr>
        <w:t>Dr. Khushi Patel                                                      Head of Department</w:t>
        <w:br/>
      </w:r>
      <w:r>
        <w:rPr>
          <w:rFonts w:ascii="Times New Roman" w:hAnsi="Times New Roman"/>
          <w:b w:val="0"/>
          <w:i w:val="0"/>
          <w:color w:val="000000"/>
          <w:sz w:val="22"/>
        </w:rPr>
        <w:t>Internal Project Guide                                              Department of CSE</w:t>
      </w:r>
    </w:p>
    <w:p>
      <w:r>
        <w:br w:type="page"/>
      </w:r>
    </w:p>
    <w:p>
      <w:pPr>
        <w:jc w:val="center"/>
      </w:pPr>
      <w:r>
        <w:rPr>
          <w:rFonts w:ascii="Times New Roman" w:hAnsi="Times New Roman"/>
          <w:b/>
          <w:i w:val="0"/>
          <w:color w:val="000000"/>
          <w:sz w:val="32"/>
        </w:rPr>
        <w:t>INFOTACT SOLUTIONS</w:t>
        <w:br/>
      </w:r>
      <w:r>
        <w:rPr>
          <w:rFonts w:ascii="Times New Roman" w:hAnsi="Times New Roman"/>
          <w:b/>
          <w:i w:val="0"/>
          <w:color w:val="000000"/>
          <w:sz w:val="24"/>
        </w:rPr>
        <w:t>Bengaluru, Karnataka</w:t>
        <w:br/>
        <w:br/>
        <w:br/>
      </w:r>
    </w:p>
    <w:p>
      <w:pPr>
        <w:jc w:val="center"/>
      </w:pPr>
      <w:r>
        <w:rPr>
          <w:rFonts w:ascii="Times New Roman" w:hAnsi="Times New Roman"/>
          <w:b/>
          <w:i w:val="0"/>
          <w:color w:val="000000"/>
          <w:sz w:val="28"/>
        </w:rPr>
        <w:t>TO WHOMSOEVER IT MAY CONCERN</w:t>
        <w:br/>
        <w:br/>
        <w:br/>
      </w:r>
    </w:p>
    <w:p>
      <w:pPr>
        <w:spacing w:line="360" w:lineRule="auto" w:after="240"/>
        <w:jc w:val="both"/>
      </w:pPr>
      <w:r>
        <w:rPr>
          <w:rFonts w:ascii="Times New Roman" w:hAnsi="Times New Roman"/>
          <w:b w:val="0"/>
          <w:i w:val="0"/>
          <w:color w:val="000000"/>
          <w:sz w:val="24"/>
        </w:rPr>
        <w:t>This is to certify that Patel Mantra Kalpeshkumar (24DCS076), a student of DEPSTAR, CHARUSAT, has successfully completed a 2-month summer internship at Infotact Solutions from May 2026 to July 2026. During this period, he worked in the role of Security Admin Associate L1 on the project "Automated PHI/PII Redaction Pipeline for LLMs". His work primarily involved designing regular expression pipelines, backend gateway router API endpoints, and rotated compliance audit logging controllers. His conduct and performance during the internship were highly commendable.</w:t>
      </w:r>
    </w:p>
    <w:p/>
    <w:p/>
    <w:p/>
    <w:p/>
    <w:p/>
    <w:p>
      <w:r>
        <w:rPr>
          <w:rFonts w:ascii="Times New Roman" w:hAnsi="Times New Roman"/>
          <w:b/>
          <w:i w:val="0"/>
          <w:color w:val="000000"/>
          <w:sz w:val="24"/>
        </w:rPr>
        <w:t>Chandan Mishra</w:t>
        <w:br/>
        <w:t>External Internship Mentor</w:t>
        <w:br/>
        <w:t>Infotact Solutions</w:t>
      </w:r>
    </w:p>
    <w:p>
      <w:r>
        <w:br w:type="page"/>
      </w:r>
    </w:p>
    <w:p>
      <w:pPr>
        <w:sectPr>
          <w:pgSz w:w="12240" w:h="15840"/>
          <w:pgMar w:top="1440" w:right="1440" w:bottom="1440" w:left="1800" w:header="720" w:footer="720" w:gutter="0"/>
          <w:cols w:space="720"/>
          <w:docGrid w:linePitch="360"/>
        </w:sectPr>
      </w:pPr>
    </w:p>
    <w:p>
      <w:pPr>
        <w:jc w:val="center"/>
      </w:pPr>
      <w:r>
        <w:rPr>
          <w:rFonts w:ascii="Times New Roman" w:hAnsi="Times New Roman"/>
          <w:b/>
          <w:i w:val="0"/>
          <w:color w:val="000000"/>
          <w:sz w:val="32"/>
        </w:rPr>
        <w:t>ACKNOWLEDGEMENT</w:t>
        <w:br/>
        <w:br/>
      </w:r>
    </w:p>
    <w:p>
      <w:pPr>
        <w:spacing w:line="360" w:lineRule="auto" w:after="240"/>
        <w:jc w:val="both"/>
      </w:pPr>
      <w:r>
        <w:rPr>
          <w:rFonts w:ascii="Times New Roman" w:hAnsi="Times New Roman"/>
          <w:b w:val="0"/>
          <w:i w:val="0"/>
          <w:color w:val="000000"/>
          <w:sz w:val="24"/>
        </w:rPr>
        <w:t>First and foremost, I would like to express my sincere gratitude to Infotact Solutions for giving me the opportunity to work as a Security Admin Associate L1 during my 2-month summer internship. This project provided me with invaluable experience in integrating security and compliance guardrails directly into backend clinical software architectures.</w:t>
      </w:r>
    </w:p>
    <w:p>
      <w:pPr>
        <w:spacing w:line="360" w:lineRule="auto" w:after="240"/>
        <w:jc w:val="both"/>
      </w:pPr>
      <w:r>
        <w:rPr>
          <w:rFonts w:ascii="Times New Roman" w:hAnsi="Times New Roman"/>
          <w:b w:val="0"/>
          <w:i w:val="0"/>
          <w:color w:val="000000"/>
          <w:sz w:val="24"/>
        </w:rPr>
        <w:t>I am highly indebted to my external mentor, Chandan Mishra, for his technical guidance, code reviews, and constant encouragement throughout the design and implementation of the token vault mechanisms. I am also extremely grateful to my project guide, Dr. Khushi Patel, and the faculty members of DEPSTAR, CHARUSAT, for providing structural direction and academic feedback.</w:t>
      </w:r>
    </w:p>
    <w:p>
      <w:pPr>
        <w:spacing w:line="360" w:lineRule="auto" w:after="240"/>
        <w:jc w:val="both"/>
      </w:pPr>
      <w:r>
        <w:rPr>
          <w:rFonts w:ascii="Times New Roman" w:hAnsi="Times New Roman"/>
          <w:b w:val="0"/>
          <w:i w:val="0"/>
          <w:color w:val="000000"/>
          <w:sz w:val="24"/>
        </w:rPr>
        <w:t>Finally, I want to thank my teammates Rohit Suthar, Tirth Patel, and Jash Joshi. Our collaborative integration efforts—merging the frontend dashboard, the Presidio NLP engines, and the Redis token mappings—were essential in delivering a highly stable, production-ready proxy pipeline.</w:t>
      </w:r>
    </w:p>
    <w:p>
      <w:pPr>
        <w:jc w:val="right"/>
      </w:pPr>
      <w:r>
        <w:rPr>
          <w:rFonts w:ascii="Times New Roman" w:hAnsi="Times New Roman"/>
          <w:b/>
          <w:i w:val="0"/>
          <w:color w:val="000000"/>
          <w:sz w:val="24"/>
        </w:rPr>
        <w:t>Patel Mantra Kalpeshkumar</w:t>
        <w:br/>
        <w:t>Enrollment: 24DCS076</w:t>
      </w:r>
    </w:p>
    <w:p>
      <w:r>
        <w:br w:type="page"/>
      </w:r>
    </w:p>
    <w:p>
      <w:pPr>
        <w:jc w:val="center"/>
      </w:pPr>
      <w:r>
        <w:rPr>
          <w:rFonts w:ascii="Times New Roman" w:hAnsi="Times New Roman"/>
          <w:b/>
          <w:i w:val="0"/>
          <w:color w:val="000000"/>
          <w:sz w:val="32"/>
        </w:rPr>
        <w:t>ABSTRACT</w:t>
        <w:br/>
        <w:br/>
      </w:r>
    </w:p>
    <w:p>
      <w:pPr>
        <w:spacing w:line="360" w:lineRule="auto" w:after="240"/>
        <w:jc w:val="both"/>
      </w:pPr>
      <w:r>
        <w:rPr>
          <w:rFonts w:ascii="Times New Roman" w:hAnsi="Times New Roman"/>
          <w:b w:val="0"/>
          <w:i w:val="0"/>
          <w:color w:val="000000"/>
          <w:sz w:val="24"/>
        </w:rPr>
        <w:t>Integrating Large Language Models (LLMs) into healthcare systems exposes sensitive patient records to compliance and privacy leakage risks. Under HIPAA regulations, clinical data containing Protected Health Information (PHI) or Personally Identifiable Information (PII) must be redacted prior to being routed outside secure organizational boundaries. This project implements a secure, de-identification proxy acting as a compliance firewall.</w:t>
      </w:r>
    </w:p>
    <w:p>
      <w:pPr>
        <w:spacing w:line="360" w:lineRule="auto" w:after="240"/>
        <w:jc w:val="both"/>
      </w:pPr>
      <w:r>
        <w:rPr>
          <w:rFonts w:ascii="Times New Roman" w:hAnsi="Times New Roman"/>
          <w:b w:val="0"/>
          <w:i w:val="0"/>
          <w:color w:val="000000"/>
          <w:sz w:val="24"/>
        </w:rPr>
        <w:t>The pipeline utilizes a hybrid detection architecture. A stateless rules-based Regex scanner detects 13 distinct types of structured identifiers (such as Aadhaar cards, SSNs, medical record numbers, ZIP codes, and dates), while Microsoft Presidio and spaCy handle unstructured entities like patient names and locations. Overlapping matches are resolved using a length-priority greedy matrix to avoid nested double-redactions. Anonymized token mappings (e.g. PERSON_001) are Fernet-encrypted and stored in a Redis session vault with an auto-destruction 30-minute Time-to-Live (TTL) policy. Finally, original identities are dynamically restored in the safe LLM responses before being delivered back to clinicians.</w:t>
      </w:r>
    </w:p>
    <w:p>
      <w:pPr>
        <w:spacing w:line="360" w:lineRule="auto" w:after="240"/>
        <w:jc w:val="both"/>
      </w:pPr>
      <w:r>
        <w:rPr>
          <w:rFonts w:ascii="Times New Roman" w:hAnsi="Times New Roman"/>
          <w:b w:val="0"/>
          <w:i w:val="0"/>
          <w:color w:val="000000"/>
          <w:sz w:val="24"/>
        </w:rPr>
        <w:t>To satisfy production needs, the system integrates sliding-window IP rate-limiting, size-based rotating audit logging (logging metadata only to prevent PHI leaks), and a stateless pre-check route executing in ~1.29ms to warn users of sensitive data exposure risks. Programmatic validation via a 65-assert Pytest suite confirms pipeline durability.</w:t>
      </w:r>
    </w:p>
    <w:p>
      <w:r>
        <w:br w:type="page"/>
      </w:r>
    </w:p>
    <w:p>
      <w:pPr>
        <w:jc w:val="center"/>
      </w:pPr>
      <w:r>
        <w:rPr>
          <w:rFonts w:ascii="Times New Roman" w:hAnsi="Times New Roman"/>
          <w:b/>
          <w:i w:val="0"/>
          <w:color w:val="000000"/>
          <w:sz w:val="32"/>
        </w:rPr>
        <w:t>TABLE OF CONTENTS</w:t>
        <w:br/>
        <w:br/>
      </w:r>
    </w:p>
    <w:p>
      <w:pPr>
        <w:spacing w:line="360" w:lineRule="auto" w:after="80"/>
        <w:jc w:val="both"/>
      </w:pPr>
      <w:r>
        <w:rPr>
          <w:rFonts w:ascii="Courier New" w:hAnsi="Courier New"/>
          <w:b w:val="0"/>
          <w:i w:val="0"/>
          <w:color w:val="000000"/>
          <w:sz w:val="19"/>
        </w:rPr>
        <w:t>Abstract ......................................................................................................................... iii</w:t>
      </w:r>
    </w:p>
    <w:p>
      <w:pPr>
        <w:spacing w:line="360" w:lineRule="auto" w:after="80"/>
        <w:jc w:val="both"/>
      </w:pPr>
      <w:r>
        <w:rPr>
          <w:rFonts w:ascii="Courier New" w:hAnsi="Courier New"/>
          <w:b w:val="0"/>
          <w:i w:val="0"/>
          <w:color w:val="000000"/>
          <w:sz w:val="19"/>
        </w:rPr>
        <w:t>Acknowledgement ........................................................................................................................ iv</w:t>
      </w:r>
    </w:p>
    <w:p>
      <w:pPr>
        <w:spacing w:line="360" w:lineRule="auto" w:after="80"/>
        <w:jc w:val="both"/>
      </w:pPr>
      <w:r>
        <w:rPr>
          <w:rFonts w:ascii="Courier New" w:hAnsi="Courier New"/>
          <w:b w:val="0"/>
          <w:i w:val="0"/>
          <w:color w:val="000000"/>
          <w:sz w:val="19"/>
        </w:rPr>
        <w:t>Description of Company / Organization ........................................................................................... ix</w:t>
      </w:r>
    </w:p>
    <w:p>
      <w:pPr>
        <w:spacing w:line="360" w:lineRule="auto" w:after="80"/>
        <w:jc w:val="both"/>
      </w:pPr>
      <w:r>
        <w:rPr>
          <w:rFonts w:ascii="Courier New" w:hAnsi="Courier New"/>
          <w:b w:val="0"/>
          <w:i w:val="0"/>
          <w:color w:val="000000"/>
          <w:sz w:val="19"/>
        </w:rPr>
        <w:t>CHAPTER 1 — INTRODUCTION ..................................................................................................... 1</w:t>
      </w:r>
    </w:p>
    <w:p>
      <w:pPr>
        <w:spacing w:line="360" w:lineRule="auto" w:after="80"/>
        <w:jc w:val="both"/>
      </w:pPr>
      <w:r>
        <w:rPr>
          <w:rFonts w:ascii="Courier New" w:hAnsi="Courier New"/>
          <w:b w:val="0"/>
          <w:i w:val="0"/>
          <w:color w:val="000000"/>
          <w:sz w:val="19"/>
        </w:rPr>
        <w:t xml:space="preserve">  1.1   BACKGROUND .................................................................................................................. 1</w:t>
      </w:r>
    </w:p>
    <w:p>
      <w:pPr>
        <w:spacing w:line="360" w:lineRule="auto" w:after="80"/>
        <w:jc w:val="both"/>
      </w:pPr>
      <w:r>
        <w:rPr>
          <w:rFonts w:ascii="Courier New" w:hAnsi="Courier New"/>
          <w:b w:val="0"/>
          <w:i w:val="0"/>
          <w:color w:val="000000"/>
          <w:sz w:val="19"/>
        </w:rPr>
        <w:t xml:space="preserve">  1.2   DATA PRIVACY IN HEALTHCARE ........................................................................................ 1</w:t>
      </w:r>
    </w:p>
    <w:p>
      <w:pPr>
        <w:spacing w:line="360" w:lineRule="auto" w:after="80"/>
        <w:jc w:val="both"/>
      </w:pPr>
      <w:r>
        <w:rPr>
          <w:rFonts w:ascii="Courier New" w:hAnsi="Courier New"/>
          <w:b w:val="0"/>
          <w:i w:val="0"/>
          <w:color w:val="000000"/>
          <w:sz w:val="19"/>
        </w:rPr>
        <w:t xml:space="preserve">  1.3   PERSONALLY IDENTIFIABLE INFORMATION (PII) ............................................................. 1</w:t>
      </w:r>
    </w:p>
    <w:p>
      <w:pPr>
        <w:spacing w:line="360" w:lineRule="auto" w:after="80"/>
        <w:jc w:val="both"/>
      </w:pPr>
      <w:r>
        <w:rPr>
          <w:rFonts w:ascii="Courier New" w:hAnsi="Courier New"/>
          <w:b w:val="0"/>
          <w:i w:val="0"/>
          <w:color w:val="000000"/>
          <w:sz w:val="19"/>
        </w:rPr>
        <w:t xml:space="preserve">  1.4   PROTECTED HEALTH INFORMATION (PHI) ............................................................................ 2</w:t>
      </w:r>
    </w:p>
    <w:p>
      <w:pPr>
        <w:spacing w:line="360" w:lineRule="auto" w:after="80"/>
        <w:jc w:val="both"/>
      </w:pPr>
      <w:r>
        <w:rPr>
          <w:rFonts w:ascii="Courier New" w:hAnsi="Courier New"/>
          <w:b w:val="0"/>
          <w:i w:val="0"/>
          <w:color w:val="000000"/>
          <w:sz w:val="19"/>
        </w:rPr>
        <w:t xml:space="preserve">  1.5   PRIVACY RISKS IN LARGE LANGUAGE MODEL APPLICATIONS ........................................... 2</w:t>
      </w:r>
    </w:p>
    <w:p>
      <w:pPr>
        <w:spacing w:line="360" w:lineRule="auto" w:after="80"/>
        <w:jc w:val="both"/>
      </w:pPr>
      <w:r>
        <w:rPr>
          <w:rFonts w:ascii="Courier New" w:hAnsi="Courier New"/>
          <w:b w:val="0"/>
          <w:i w:val="0"/>
          <w:color w:val="000000"/>
          <w:sz w:val="19"/>
        </w:rPr>
        <w:t xml:space="preserve">  1.6   NEED FOR AUTOMATED PHI/PII REDACTION ......................................................................... 2</w:t>
      </w:r>
    </w:p>
    <w:p>
      <w:pPr>
        <w:spacing w:line="360" w:lineRule="auto" w:after="80"/>
        <w:jc w:val="both"/>
      </w:pPr>
      <w:r>
        <w:rPr>
          <w:rFonts w:ascii="Courier New" w:hAnsi="Courier New"/>
          <w:b w:val="0"/>
          <w:i w:val="0"/>
          <w:color w:val="000000"/>
          <w:sz w:val="19"/>
        </w:rPr>
        <w:t xml:space="preserve">  1.7   PROBLEM STATEMENT ..................................................................................................... 2</w:t>
      </w:r>
    </w:p>
    <w:p>
      <w:pPr>
        <w:spacing w:line="360" w:lineRule="auto" w:after="80"/>
        <w:jc w:val="both"/>
      </w:pPr>
      <w:r>
        <w:rPr>
          <w:rFonts w:ascii="Courier New" w:hAnsi="Courier New"/>
          <w:b w:val="0"/>
          <w:i w:val="0"/>
          <w:color w:val="000000"/>
          <w:sz w:val="19"/>
        </w:rPr>
        <w:t xml:space="preserve">  1.8   OBJECTIVES OF THE PROJECT ......................................................................................... 3</w:t>
      </w:r>
    </w:p>
    <w:p>
      <w:pPr>
        <w:spacing w:line="360" w:lineRule="auto" w:after="80"/>
        <w:jc w:val="both"/>
      </w:pPr>
      <w:r>
        <w:rPr>
          <w:rFonts w:ascii="Courier New" w:hAnsi="Courier New"/>
          <w:b w:val="0"/>
          <w:i w:val="0"/>
          <w:color w:val="000000"/>
          <w:sz w:val="19"/>
        </w:rPr>
        <w:t xml:space="preserve">  1.9   SCOPE OF THE PROJECT ................................................................................................. 3</w:t>
      </w:r>
    </w:p>
    <w:p>
      <w:pPr>
        <w:spacing w:line="360" w:lineRule="auto" w:after="80"/>
        <w:jc w:val="both"/>
      </w:pPr>
      <w:r>
        <w:rPr>
          <w:rFonts w:ascii="Courier New" w:hAnsi="Courier New"/>
          <w:b w:val="0"/>
          <w:i w:val="0"/>
          <w:color w:val="000000"/>
          <w:sz w:val="19"/>
        </w:rPr>
        <w:t>CHAPTER 2 — PROJECT DEFINITION .......................................................................................... 4</w:t>
      </w:r>
    </w:p>
    <w:p>
      <w:pPr>
        <w:spacing w:line="360" w:lineRule="auto" w:after="80"/>
        <w:jc w:val="both"/>
      </w:pPr>
      <w:r>
        <w:rPr>
          <w:rFonts w:ascii="Courier New" w:hAnsi="Courier New"/>
          <w:b w:val="0"/>
          <w:i w:val="0"/>
          <w:color w:val="000000"/>
          <w:sz w:val="19"/>
        </w:rPr>
        <w:t xml:space="preserve">  2.1   PROJECT OVERVIEW .......................................................................................................... 4</w:t>
      </w:r>
    </w:p>
    <w:p>
      <w:pPr>
        <w:spacing w:line="360" w:lineRule="auto" w:after="80"/>
        <w:jc w:val="both"/>
      </w:pPr>
      <w:r>
        <w:rPr>
          <w:rFonts w:ascii="Courier New" w:hAnsi="Courier New"/>
          <w:b w:val="0"/>
          <w:i w:val="0"/>
          <w:color w:val="000000"/>
          <w:sz w:val="19"/>
        </w:rPr>
        <w:t xml:space="preserve">  2.2   EXISTING SYSTEM ........................................................................................................... 4</w:t>
      </w:r>
    </w:p>
    <w:p>
      <w:pPr>
        <w:spacing w:line="360" w:lineRule="auto" w:after="80"/>
        <w:jc w:val="both"/>
      </w:pPr>
      <w:r>
        <w:rPr>
          <w:rFonts w:ascii="Courier New" w:hAnsi="Courier New"/>
          <w:b w:val="0"/>
          <w:i w:val="0"/>
          <w:color w:val="000000"/>
          <w:sz w:val="19"/>
        </w:rPr>
        <w:t xml:space="preserve">  2.3   PROPOSED SYSTEM ........................................................................................................... 4</w:t>
      </w:r>
    </w:p>
    <w:p>
      <w:pPr>
        <w:spacing w:line="360" w:lineRule="auto" w:after="80"/>
        <w:jc w:val="both"/>
      </w:pPr>
      <w:r>
        <w:rPr>
          <w:rFonts w:ascii="Courier New" w:hAnsi="Courier New"/>
          <w:b w:val="0"/>
          <w:i w:val="0"/>
          <w:color w:val="000000"/>
          <w:sz w:val="19"/>
        </w:rPr>
        <w:t xml:space="preserve">  2.4   TECHNOLOGY STACK ......................................................................................................... 4</w:t>
      </w:r>
    </w:p>
    <w:p>
      <w:pPr>
        <w:spacing w:line="360" w:lineRule="auto" w:after="80"/>
        <w:jc w:val="both"/>
      </w:pPr>
      <w:r>
        <w:rPr>
          <w:rFonts w:ascii="Courier New" w:hAnsi="Courier New"/>
          <w:b w:val="0"/>
          <w:i w:val="0"/>
          <w:color w:val="000000"/>
          <w:sz w:val="19"/>
        </w:rPr>
        <w:t xml:space="preserve">  2.5   KEY FEATURES OF THE SYSTEM ......................................................................................... 5</w:t>
      </w:r>
    </w:p>
    <w:p>
      <w:pPr>
        <w:spacing w:line="360" w:lineRule="auto" w:after="80"/>
        <w:jc w:val="both"/>
      </w:pPr>
      <w:r>
        <w:rPr>
          <w:rFonts w:ascii="Courier New" w:hAnsi="Courier New"/>
          <w:b w:val="0"/>
          <w:i w:val="0"/>
          <w:color w:val="000000"/>
          <w:sz w:val="19"/>
        </w:rPr>
        <w:t>CHAPTER 3 — SYSTEM REQUIREMENTS ..................................................................................... 6</w:t>
      </w:r>
    </w:p>
    <w:p>
      <w:pPr>
        <w:spacing w:line="360" w:lineRule="auto" w:after="80"/>
        <w:jc w:val="both"/>
      </w:pPr>
      <w:r>
        <w:rPr>
          <w:rFonts w:ascii="Courier New" w:hAnsi="Courier New"/>
          <w:b w:val="0"/>
          <w:i w:val="0"/>
          <w:color w:val="000000"/>
          <w:sz w:val="19"/>
        </w:rPr>
        <w:t xml:space="preserve">  3.1   SOFTWARE REQUIREMENTS ................................................................................................ 6</w:t>
      </w:r>
    </w:p>
    <w:p>
      <w:pPr>
        <w:spacing w:line="360" w:lineRule="auto" w:after="80"/>
        <w:jc w:val="both"/>
      </w:pPr>
      <w:r>
        <w:rPr>
          <w:rFonts w:ascii="Courier New" w:hAnsi="Courier New"/>
          <w:b w:val="0"/>
          <w:i w:val="0"/>
          <w:color w:val="000000"/>
          <w:sz w:val="19"/>
        </w:rPr>
        <w:t xml:space="preserve">  3.2   HARDWARE REQUIREMENTS ................................................................................................ 6</w:t>
      </w:r>
    </w:p>
    <w:p>
      <w:pPr>
        <w:spacing w:line="360" w:lineRule="auto" w:after="80"/>
        <w:jc w:val="both"/>
      </w:pPr>
      <w:r>
        <w:rPr>
          <w:rFonts w:ascii="Courier New" w:hAnsi="Courier New"/>
          <w:b w:val="0"/>
          <w:i w:val="0"/>
          <w:color w:val="000000"/>
          <w:sz w:val="19"/>
        </w:rPr>
        <w:t xml:space="preserve">  3.3   DEVELOPMENT AND VALIDATION TOOLS ........................................................................... 7</w:t>
      </w:r>
    </w:p>
    <w:p>
      <w:pPr>
        <w:spacing w:line="360" w:lineRule="auto" w:after="80"/>
        <w:jc w:val="both"/>
      </w:pPr>
      <w:r>
        <w:rPr>
          <w:rFonts w:ascii="Courier New" w:hAnsi="Courier New"/>
          <w:b w:val="0"/>
          <w:i w:val="0"/>
          <w:color w:val="000000"/>
          <w:sz w:val="19"/>
        </w:rPr>
        <w:t>CHAPTER 4 — SYSTEM DESIGN AND ARCHITECTURE ............................................................... 8</w:t>
      </w:r>
    </w:p>
    <w:p>
      <w:pPr>
        <w:spacing w:line="360" w:lineRule="auto" w:after="80"/>
        <w:jc w:val="both"/>
      </w:pPr>
      <w:r>
        <w:rPr>
          <w:rFonts w:ascii="Courier New" w:hAnsi="Courier New"/>
          <w:b w:val="0"/>
          <w:i w:val="0"/>
          <w:color w:val="000000"/>
          <w:sz w:val="19"/>
        </w:rPr>
        <w:t xml:space="preserve">  4.1   SYSTEM ARCHITECTURE .................................................................................................... 8</w:t>
      </w:r>
    </w:p>
    <w:p>
      <w:pPr>
        <w:spacing w:line="360" w:lineRule="auto" w:after="80"/>
        <w:jc w:val="both"/>
      </w:pPr>
      <w:r>
        <w:rPr>
          <w:rFonts w:ascii="Courier New" w:hAnsi="Courier New"/>
          <w:b w:val="0"/>
          <w:i w:val="0"/>
          <w:color w:val="000000"/>
          <w:sz w:val="19"/>
        </w:rPr>
        <w:t xml:space="preserve">  4.2   SYSTEM WORKFLOW ........................................................................................................... 8</w:t>
      </w:r>
    </w:p>
    <w:p>
      <w:pPr>
        <w:spacing w:line="360" w:lineRule="auto" w:after="80"/>
        <w:jc w:val="both"/>
      </w:pPr>
      <w:r>
        <w:rPr>
          <w:rFonts w:ascii="Courier New" w:hAnsi="Courier New"/>
          <w:b w:val="0"/>
          <w:i w:val="0"/>
          <w:color w:val="000000"/>
          <w:sz w:val="19"/>
        </w:rPr>
        <w:t xml:space="preserve">  4.3   DATABASE DESIGN ............................................................................................................. 9</w:t>
      </w:r>
    </w:p>
    <w:p>
      <w:pPr>
        <w:spacing w:line="360" w:lineRule="auto" w:after="80"/>
        <w:jc w:val="both"/>
      </w:pPr>
      <w:r>
        <w:rPr>
          <w:rFonts w:ascii="Courier New" w:hAnsi="Courier New"/>
          <w:b w:val="0"/>
          <w:i w:val="0"/>
          <w:color w:val="000000"/>
          <w:sz w:val="19"/>
        </w:rPr>
        <w:t xml:space="preserve">  4.4   SECURITY ARCHITECTURE ................................................................................................... 10</w:t>
      </w:r>
    </w:p>
    <w:p>
      <w:pPr>
        <w:spacing w:line="360" w:lineRule="auto" w:after="80"/>
        <w:jc w:val="both"/>
      </w:pPr>
      <w:r>
        <w:rPr>
          <w:rFonts w:ascii="Courier New" w:hAnsi="Courier New"/>
          <w:b w:val="0"/>
          <w:i w:val="0"/>
          <w:color w:val="000000"/>
          <w:sz w:val="19"/>
        </w:rPr>
        <w:t>CHAPTER 5 — SYSTEM IMPLEMENTATION .................................................................................. 12</w:t>
      </w:r>
    </w:p>
    <w:p>
      <w:pPr>
        <w:spacing w:line="360" w:lineRule="auto" w:after="80"/>
        <w:jc w:val="both"/>
      </w:pPr>
      <w:r>
        <w:rPr>
          <w:rFonts w:ascii="Courier New" w:hAnsi="Courier New"/>
          <w:b w:val="0"/>
          <w:i w:val="0"/>
          <w:color w:val="000000"/>
          <w:sz w:val="19"/>
        </w:rPr>
        <w:t xml:space="preserve">  5.1   FRONTEND IMPLEMENTATION ........................................................................................... 12</w:t>
      </w:r>
    </w:p>
    <w:p>
      <w:pPr>
        <w:spacing w:line="360" w:lineRule="auto" w:after="80"/>
        <w:jc w:val="both"/>
      </w:pPr>
      <w:r>
        <w:rPr>
          <w:rFonts w:ascii="Courier New" w:hAnsi="Courier New"/>
          <w:b w:val="0"/>
          <w:i w:val="0"/>
          <w:color w:val="000000"/>
          <w:sz w:val="19"/>
        </w:rPr>
        <w:t xml:space="preserve">  5.2   BACKEND IMPLEMENTATION ........................................................................................... 12</w:t>
      </w:r>
    </w:p>
    <w:p>
      <w:pPr>
        <w:spacing w:line="360" w:lineRule="auto" w:after="80"/>
        <w:jc w:val="both"/>
      </w:pPr>
      <w:r>
        <w:rPr>
          <w:rFonts w:ascii="Courier New" w:hAnsi="Courier New"/>
          <w:b w:val="0"/>
          <w:i w:val="0"/>
          <w:color w:val="000000"/>
          <w:sz w:val="19"/>
        </w:rPr>
        <w:t xml:space="preserve">  5.3   VAULT &amp; TOKEN STORAGE IMPLEMENTATION ........................................................................... 13</w:t>
      </w:r>
    </w:p>
    <w:p>
      <w:pPr>
        <w:spacing w:line="360" w:lineRule="auto" w:after="80"/>
        <w:jc w:val="both"/>
      </w:pPr>
      <w:r>
        <w:rPr>
          <w:rFonts w:ascii="Courier New" w:hAnsi="Courier New"/>
          <w:b w:val="0"/>
          <w:i w:val="0"/>
          <w:color w:val="000000"/>
          <w:sz w:val="19"/>
        </w:rPr>
        <w:t xml:space="preserve">  5.4   MACHINE LEARNING &amp; EPONYMS IMPLEMENTATION ........................................................... 14</w:t>
      </w:r>
    </w:p>
    <w:p>
      <w:pPr>
        <w:spacing w:line="360" w:lineRule="auto" w:after="80"/>
        <w:jc w:val="both"/>
      </w:pPr>
      <w:r>
        <w:rPr>
          <w:rFonts w:ascii="Courier New" w:hAnsi="Courier New"/>
          <w:b w:val="0"/>
          <w:i w:val="0"/>
          <w:color w:val="000000"/>
          <w:sz w:val="19"/>
        </w:rPr>
        <w:t xml:space="preserve">  5.5   IMPLEMENTATION CHALLENGES &amp; SOLUTIONS .................................................................. 15</w:t>
      </w:r>
    </w:p>
    <w:p>
      <w:pPr>
        <w:spacing w:line="360" w:lineRule="auto" w:after="80"/>
        <w:jc w:val="both"/>
      </w:pPr>
      <w:r>
        <w:rPr>
          <w:rFonts w:ascii="Courier New" w:hAnsi="Courier New"/>
          <w:b w:val="0"/>
          <w:i w:val="0"/>
          <w:color w:val="000000"/>
          <w:sz w:val="19"/>
        </w:rPr>
        <w:t>CHAPTER 6 — WORKFLOW AND MAJOR FUNCTIONALITY ........................................................... 17</w:t>
      </w:r>
    </w:p>
    <w:p>
      <w:pPr>
        <w:spacing w:line="360" w:lineRule="auto" w:after="80"/>
        <w:jc w:val="both"/>
      </w:pPr>
      <w:r>
        <w:rPr>
          <w:rFonts w:ascii="Courier New" w:hAnsi="Courier New"/>
          <w:b w:val="0"/>
          <w:i w:val="0"/>
          <w:color w:val="000000"/>
          <w:sz w:val="19"/>
        </w:rPr>
        <w:t xml:space="preserve">  6.1   MAIN REQUEST LIFECYCLE ................................................................................................ 17</w:t>
      </w:r>
    </w:p>
    <w:p>
      <w:pPr>
        <w:spacing w:line="360" w:lineRule="auto" w:after="80"/>
        <w:jc w:val="both"/>
      </w:pPr>
      <w:r>
        <w:rPr>
          <w:rFonts w:ascii="Courier New" w:hAnsi="Courier New"/>
          <w:b w:val="0"/>
          <w:i w:val="0"/>
          <w:color w:val="000000"/>
          <w:sz w:val="19"/>
        </w:rPr>
        <w:t xml:space="preserve">  6.2   REGEX SCANNING &amp; OVERLAP RESOLUTION ......................................................................... 17</w:t>
      </w:r>
    </w:p>
    <w:p>
      <w:pPr>
        <w:spacing w:line="360" w:lineRule="auto" w:after="80"/>
        <w:jc w:val="both"/>
      </w:pPr>
      <w:r>
        <w:rPr>
          <w:rFonts w:ascii="Courier New" w:hAnsi="Courier New"/>
          <w:b w:val="0"/>
          <w:i w:val="0"/>
          <w:color w:val="000000"/>
          <w:sz w:val="19"/>
        </w:rPr>
        <w:t xml:space="preserve">  6.3   TOKEN GENERATION &amp; DE-IDENTIFICATION ........................................................................... 18</w:t>
      </w:r>
    </w:p>
    <w:p>
      <w:pPr>
        <w:spacing w:line="360" w:lineRule="auto" w:after="80"/>
        <w:jc w:val="both"/>
      </w:pPr>
      <w:r>
        <w:rPr>
          <w:rFonts w:ascii="Courier New" w:hAnsi="Courier New"/>
          <w:b w:val="0"/>
          <w:i w:val="0"/>
          <w:color w:val="000000"/>
          <w:sz w:val="19"/>
        </w:rPr>
        <w:t xml:space="preserve">  6.4   LLM INTERACTION &amp; IDENTITY RESTORATION ........................................................................... 19</w:t>
      </w:r>
    </w:p>
    <w:p>
      <w:pPr>
        <w:spacing w:line="360" w:lineRule="auto" w:after="80"/>
        <w:jc w:val="both"/>
      </w:pPr>
      <w:r>
        <w:rPr>
          <w:rFonts w:ascii="Courier New" w:hAnsi="Courier New"/>
          <w:b w:val="0"/>
          <w:i w:val="0"/>
          <w:color w:val="000000"/>
          <w:sz w:val="19"/>
        </w:rPr>
        <w:t xml:space="preserve">  6.5   AUDIT TRAIL LOGGING ................................................................................................ 20</w:t>
      </w:r>
    </w:p>
    <w:p>
      <w:pPr>
        <w:spacing w:line="360" w:lineRule="auto" w:after="80"/>
        <w:jc w:val="both"/>
      </w:pPr>
      <w:r>
        <w:rPr>
          <w:rFonts w:ascii="Courier New" w:hAnsi="Courier New"/>
          <w:b w:val="0"/>
          <w:i w:val="0"/>
          <w:color w:val="000000"/>
          <w:sz w:val="19"/>
        </w:rPr>
        <w:t>CHAPTER 7 — TESTING AND VALIDATION ................................................................................ 21</w:t>
      </w:r>
    </w:p>
    <w:p>
      <w:pPr>
        <w:spacing w:line="360" w:lineRule="auto" w:after="80"/>
        <w:jc w:val="both"/>
      </w:pPr>
      <w:r>
        <w:rPr>
          <w:rFonts w:ascii="Courier New" w:hAnsi="Courier New"/>
          <w:b w:val="0"/>
          <w:i w:val="0"/>
          <w:color w:val="000000"/>
          <w:sz w:val="19"/>
        </w:rPr>
        <w:t xml:space="preserve">  7.1   TESTING OBJECTIVES .................................................................................................. 21</w:t>
      </w:r>
    </w:p>
    <w:p>
      <w:pPr>
        <w:spacing w:line="360" w:lineRule="auto" w:after="80"/>
        <w:jc w:val="both"/>
      </w:pPr>
      <w:r>
        <w:rPr>
          <w:rFonts w:ascii="Courier New" w:hAnsi="Courier New"/>
          <w:b w:val="0"/>
          <w:i w:val="0"/>
          <w:color w:val="000000"/>
          <w:sz w:val="19"/>
        </w:rPr>
        <w:t xml:space="preserve">  7.2   TESTING STRATEGY ........................................................................................................... 21</w:t>
      </w:r>
    </w:p>
    <w:p>
      <w:pPr>
        <w:spacing w:line="360" w:lineRule="auto" w:after="80"/>
        <w:jc w:val="both"/>
      </w:pPr>
      <w:r>
        <w:rPr>
          <w:rFonts w:ascii="Courier New" w:hAnsi="Courier New"/>
          <w:b w:val="0"/>
          <w:i w:val="0"/>
          <w:color w:val="000000"/>
          <w:sz w:val="19"/>
        </w:rPr>
        <w:t xml:space="preserve">  7.3   UNIT TESTING .................................................................................................................. 21</w:t>
      </w:r>
    </w:p>
    <w:p>
      <w:pPr>
        <w:spacing w:line="360" w:lineRule="auto" w:after="80"/>
        <w:jc w:val="both"/>
      </w:pPr>
      <w:r>
        <w:rPr>
          <w:rFonts w:ascii="Courier New" w:hAnsi="Courier New"/>
          <w:b w:val="0"/>
          <w:i w:val="0"/>
          <w:color w:val="000000"/>
          <w:sz w:val="19"/>
        </w:rPr>
        <w:t xml:space="preserve">  7.4   INTEGRATION TESTING ........................................................................................................... 22</w:t>
      </w:r>
    </w:p>
    <w:p>
      <w:pPr>
        <w:spacing w:line="360" w:lineRule="auto" w:after="80"/>
        <w:jc w:val="both"/>
      </w:pPr>
      <w:r>
        <w:rPr>
          <w:rFonts w:ascii="Courier New" w:hAnsi="Courier New"/>
          <w:b w:val="0"/>
          <w:i w:val="0"/>
          <w:color w:val="000000"/>
          <w:sz w:val="19"/>
        </w:rPr>
        <w:t xml:space="preserve">  7.5   TEST CASES &amp; RESULTS ..................................................................................................... 22</w:t>
      </w:r>
    </w:p>
    <w:p>
      <w:pPr>
        <w:spacing w:line="360" w:lineRule="auto" w:after="80"/>
        <w:jc w:val="both"/>
      </w:pPr>
      <w:r>
        <w:rPr>
          <w:rFonts w:ascii="Courier New" w:hAnsi="Courier New"/>
          <w:b w:val="0"/>
          <w:i w:val="0"/>
          <w:color w:val="000000"/>
          <w:sz w:val="19"/>
        </w:rPr>
        <w:t>CHAPTER 8 — RESULTS AND OUTPUTS ..................................................................................... 23</w:t>
      </w:r>
    </w:p>
    <w:p>
      <w:pPr>
        <w:spacing w:line="360" w:lineRule="auto" w:after="80"/>
        <w:jc w:val="both"/>
      </w:pPr>
      <w:r>
        <w:rPr>
          <w:rFonts w:ascii="Courier New" w:hAnsi="Courier New"/>
          <w:b w:val="0"/>
          <w:i w:val="0"/>
          <w:color w:val="000000"/>
          <w:sz w:val="19"/>
        </w:rPr>
        <w:t xml:space="preserve">  8.1   APPLICATION STARTUP &amp; CONFIGURATION ........................................................................... 23</w:t>
      </w:r>
    </w:p>
    <w:p>
      <w:pPr>
        <w:spacing w:line="360" w:lineRule="auto" w:after="80"/>
        <w:jc w:val="both"/>
      </w:pPr>
      <w:r>
        <w:rPr>
          <w:rFonts w:ascii="Courier New" w:hAnsi="Courier New"/>
          <w:b w:val="0"/>
          <w:i w:val="0"/>
          <w:color w:val="000000"/>
          <w:sz w:val="19"/>
        </w:rPr>
        <w:t xml:space="preserve">  8.2   MAIN GATEWAY USER INTERFACE ........................................................................................ 23</w:t>
      </w:r>
    </w:p>
    <w:p>
      <w:pPr>
        <w:spacing w:line="360" w:lineRule="auto" w:after="80"/>
        <w:jc w:val="both"/>
      </w:pPr>
      <w:r>
        <w:rPr>
          <w:rFonts w:ascii="Courier New" w:hAnsi="Courier New"/>
          <w:b w:val="0"/>
          <w:i w:val="0"/>
          <w:color w:val="000000"/>
          <w:sz w:val="19"/>
        </w:rPr>
        <w:t xml:space="preserve">  8.3   INPUT NOTE DE-IDENTIFICATION RUN ................................................................................... 23</w:t>
      </w:r>
    </w:p>
    <w:p>
      <w:pPr>
        <w:spacing w:line="360" w:lineRule="auto" w:after="80"/>
        <w:jc w:val="both"/>
      </w:pPr>
      <w:r>
        <w:rPr>
          <w:rFonts w:ascii="Courier New" w:hAnsi="Courier New"/>
          <w:b w:val="0"/>
          <w:i w:val="0"/>
          <w:color w:val="000000"/>
          <w:sz w:val="19"/>
        </w:rPr>
        <w:t xml:space="preserve">  8.4   RESTORATION &amp; DYNAMIC AI RESPONSE ................................................................................... 24</w:t>
      </w:r>
    </w:p>
    <w:p>
      <w:pPr>
        <w:spacing w:line="360" w:lineRule="auto" w:after="80"/>
        <w:jc w:val="both"/>
      </w:pPr>
      <w:r>
        <w:rPr>
          <w:rFonts w:ascii="Courier New" w:hAnsi="Courier New"/>
          <w:b w:val="0"/>
          <w:i w:val="0"/>
          <w:color w:val="000000"/>
          <w:sz w:val="19"/>
        </w:rPr>
        <w:t xml:space="preserve">  8.5   AUDIT LOGS &amp; COMPLIANCE METRICS ................................................................................... 25</w:t>
      </w:r>
    </w:p>
    <w:p>
      <w:pPr>
        <w:spacing w:line="360" w:lineRule="auto" w:after="80"/>
        <w:jc w:val="both"/>
      </w:pPr>
      <w:r>
        <w:rPr>
          <w:rFonts w:ascii="Courier New" w:hAnsi="Courier New"/>
          <w:b w:val="0"/>
          <w:i w:val="0"/>
          <w:color w:val="000000"/>
          <w:sz w:val="19"/>
        </w:rPr>
        <w:t>CHAPTER 9 — SECURITY, PRIVACY, AND LIMITATIONS ............................................................. 28</w:t>
      </w:r>
    </w:p>
    <w:p>
      <w:pPr>
        <w:spacing w:line="360" w:lineRule="auto" w:after="80"/>
        <w:jc w:val="both"/>
      </w:pPr>
      <w:r>
        <w:rPr>
          <w:rFonts w:ascii="Courier New" w:hAnsi="Courier New"/>
          <w:b w:val="0"/>
          <w:i w:val="0"/>
          <w:color w:val="000000"/>
          <w:sz w:val="19"/>
        </w:rPr>
        <w:t xml:space="preserve">  9.1   TECHNICAL LIMITATIONS .................................................................................................. 28</w:t>
      </w:r>
    </w:p>
    <w:p>
      <w:pPr>
        <w:spacing w:line="360" w:lineRule="auto" w:after="80"/>
        <w:jc w:val="both"/>
      </w:pPr>
      <w:r>
        <w:rPr>
          <w:rFonts w:ascii="Courier New" w:hAnsi="Courier New"/>
          <w:b w:val="0"/>
          <w:i w:val="0"/>
          <w:color w:val="000000"/>
          <w:sz w:val="19"/>
        </w:rPr>
        <w:t xml:space="preserve">  9.2   SYSTEM AND SCALABILITY LIMITATIONS .................................................................................. 28</w:t>
      </w:r>
    </w:p>
    <w:p>
      <w:pPr>
        <w:spacing w:line="360" w:lineRule="auto" w:after="80"/>
        <w:jc w:val="both"/>
      </w:pPr>
      <w:r>
        <w:rPr>
          <w:rFonts w:ascii="Courier New" w:hAnsi="Courier New"/>
          <w:b w:val="0"/>
          <w:i w:val="0"/>
          <w:color w:val="000000"/>
          <w:sz w:val="19"/>
        </w:rPr>
        <w:t xml:space="preserve">  9.3   SECURITY LIMITATIONS ................................................................................................... 28</w:t>
      </w:r>
    </w:p>
    <w:p>
      <w:pPr>
        <w:spacing w:line="360" w:lineRule="auto" w:after="80"/>
        <w:jc w:val="both"/>
      </w:pPr>
      <w:r>
        <w:rPr>
          <w:rFonts w:ascii="Courier New" w:hAnsi="Courier New"/>
          <w:b w:val="0"/>
          <w:i w:val="0"/>
          <w:color w:val="000000"/>
          <w:sz w:val="19"/>
        </w:rPr>
        <w:t>CHAPTER 10 — FUTURE ENHANCEMENTS .................................................................................. 30</w:t>
      </w:r>
    </w:p>
    <w:p>
      <w:pPr>
        <w:spacing w:line="360" w:lineRule="auto" w:after="80"/>
        <w:jc w:val="both"/>
      </w:pPr>
      <w:r>
        <w:rPr>
          <w:rFonts w:ascii="Courier New" w:hAnsi="Courier New"/>
          <w:b w:val="0"/>
          <w:i w:val="0"/>
          <w:color w:val="000000"/>
          <w:sz w:val="19"/>
        </w:rPr>
        <w:t xml:space="preserve">  10.1   MODEL OPTIMIZATIONS .................................................................................................. 30</w:t>
      </w:r>
    </w:p>
    <w:p>
      <w:pPr>
        <w:spacing w:line="360" w:lineRule="auto" w:after="80"/>
        <w:jc w:val="both"/>
      </w:pPr>
      <w:r>
        <w:rPr>
          <w:rFonts w:ascii="Courier New" w:hAnsi="Courier New"/>
          <w:b w:val="0"/>
          <w:i w:val="0"/>
          <w:color w:val="000000"/>
          <w:sz w:val="19"/>
        </w:rPr>
        <w:t xml:space="preserve">  10.2   REGULATORY COMPLIANCE ROADMAP .................................................................................. 30</w:t>
      </w:r>
    </w:p>
    <w:p>
      <w:pPr>
        <w:spacing w:line="360" w:lineRule="auto" w:after="80"/>
        <w:jc w:val="both"/>
      </w:pPr>
      <w:r>
        <w:rPr>
          <w:rFonts w:ascii="Courier New" w:hAnsi="Courier New"/>
          <w:b w:val="0"/>
          <w:i w:val="0"/>
          <w:color w:val="000000"/>
          <w:sz w:val="19"/>
        </w:rPr>
        <w:t>CONCLUSION ................................................................................................................................... 32</w:t>
      </w:r>
    </w:p>
    <w:p>
      <w:pPr>
        <w:spacing w:line="360" w:lineRule="auto" w:after="80"/>
        <w:jc w:val="both"/>
      </w:pPr>
      <w:r>
        <w:rPr>
          <w:rFonts w:ascii="Courier New" w:hAnsi="Courier New"/>
          <w:b w:val="0"/>
          <w:i w:val="0"/>
          <w:color w:val="000000"/>
          <w:sz w:val="19"/>
        </w:rPr>
        <w:t>REFERENCES ................................................................................................................................... 33</w:t>
      </w:r>
    </w:p>
    <w:p>
      <w:r>
        <w:br w:type="page"/>
      </w:r>
    </w:p>
    <w:p>
      <w:pPr>
        <w:jc w:val="center"/>
      </w:pPr>
      <w:r>
        <w:rPr>
          <w:rFonts w:ascii="Times New Roman" w:hAnsi="Times New Roman"/>
          <w:b/>
          <w:i w:val="0"/>
          <w:color w:val="000000"/>
          <w:sz w:val="32"/>
        </w:rPr>
        <w:t>LIST OF FIGURES</w:t>
        <w:br/>
        <w:br/>
      </w:r>
    </w:p>
    <w:p>
      <w:pPr>
        <w:spacing w:line="360" w:lineRule="auto" w:after="80"/>
        <w:jc w:val="both"/>
      </w:pPr>
      <w:r>
        <w:rPr>
          <w:rFonts w:ascii="Courier New" w:hAnsi="Courier New"/>
          <w:b w:val="0"/>
          <w:i w:val="0"/>
          <w:color w:val="000000"/>
          <w:sz w:val="19"/>
        </w:rPr>
        <w:t>Fig. 3.1   Local Development &amp; Validation Flowchart ................................................................ 7</w:t>
      </w:r>
    </w:p>
    <w:p>
      <w:pPr>
        <w:spacing w:line="360" w:lineRule="auto" w:after="80"/>
        <w:jc w:val="both"/>
      </w:pPr>
      <w:r>
        <w:rPr>
          <w:rFonts w:ascii="Courier New" w:hAnsi="Courier New"/>
          <w:b w:val="0"/>
          <w:i w:val="0"/>
          <w:color w:val="000000"/>
          <w:sz w:val="19"/>
        </w:rPr>
        <w:t>Fig. 4.1   Overall System Architecture Diagram ........................................................................................... 8</w:t>
      </w:r>
    </w:p>
    <w:p>
      <w:pPr>
        <w:spacing w:line="360" w:lineRule="auto" w:after="80"/>
        <w:jc w:val="both"/>
      </w:pPr>
      <w:r>
        <w:rPr>
          <w:rFonts w:ascii="Courier New" w:hAnsi="Courier New"/>
          <w:b w:val="0"/>
          <w:i w:val="0"/>
          <w:color w:val="000000"/>
          <w:sz w:val="19"/>
        </w:rPr>
        <w:t>Fig. 4.2   Hybrid Redaction Pipeline Flowchart ........................................................................................... 8</w:t>
      </w:r>
    </w:p>
    <w:p>
      <w:pPr>
        <w:spacing w:line="360" w:lineRule="auto" w:after="80"/>
        <w:jc w:val="both"/>
      </w:pPr>
      <w:r>
        <w:rPr>
          <w:rFonts w:ascii="Courier New" w:hAnsi="Courier New"/>
          <w:b w:val="0"/>
          <w:i w:val="0"/>
          <w:color w:val="000000"/>
          <w:sz w:val="19"/>
        </w:rPr>
        <w:t>Fig. 4.3   Redis Key-Space Layout ........................................................................................... 9</w:t>
      </w:r>
    </w:p>
    <w:p>
      <w:pPr>
        <w:spacing w:line="360" w:lineRule="auto" w:after="80"/>
        <w:jc w:val="both"/>
      </w:pPr>
      <w:r>
        <w:rPr>
          <w:rFonts w:ascii="Courier New" w:hAnsi="Courier New"/>
          <w:b w:val="0"/>
          <w:i w:val="0"/>
          <w:color w:val="000000"/>
          <w:sz w:val="19"/>
        </w:rPr>
        <w:t>Fig. 4.4   Trust Boundary Controls Map ........................................................................................... 10</w:t>
      </w:r>
    </w:p>
    <w:p>
      <w:pPr>
        <w:spacing w:line="360" w:lineRule="auto" w:after="80"/>
        <w:jc w:val="both"/>
      </w:pPr>
      <w:r>
        <w:rPr>
          <w:rFonts w:ascii="Courier New" w:hAnsi="Courier New"/>
          <w:b w:val="0"/>
          <w:i w:val="0"/>
          <w:color w:val="000000"/>
          <w:sz w:val="19"/>
        </w:rPr>
        <w:t>Fig. 6.1   Audit logging path flowchart ........................................................................................... 20</w:t>
      </w:r>
    </w:p>
    <w:p>
      <w:pPr>
        <w:spacing w:line="360" w:lineRule="auto" w:after="80"/>
        <w:jc w:val="both"/>
      </w:pPr>
      <w:r>
        <w:rPr>
          <w:rFonts w:ascii="Courier New" w:hAnsi="Courier New"/>
          <w:b w:val="0"/>
          <w:i w:val="0"/>
          <w:color w:val="000000"/>
          <w:sz w:val="19"/>
        </w:rPr>
        <w:t>Fig. 8.1   Project Directory Tree ........................................................................................... 23</w:t>
      </w:r>
    </w:p>
    <w:p>
      <w:pPr>
        <w:spacing w:line="360" w:lineRule="auto" w:after="80"/>
        <w:jc w:val="both"/>
      </w:pPr>
      <w:r>
        <w:rPr>
          <w:rFonts w:ascii="Courier New" w:hAnsi="Courier New"/>
          <w:b w:val="0"/>
          <w:i w:val="0"/>
          <w:color w:val="000000"/>
          <w:sz w:val="19"/>
        </w:rPr>
        <w:t>Fig. 8.2   Flask Startup Diagnostics ........................................................................................... 23</w:t>
      </w:r>
    </w:p>
    <w:p>
      <w:pPr>
        <w:spacing w:line="360" w:lineRule="auto" w:after="80"/>
        <w:jc w:val="both"/>
      </w:pPr>
      <w:r>
        <w:rPr>
          <w:rFonts w:ascii="Courier New" w:hAnsi="Courier New"/>
          <w:b w:val="0"/>
          <w:i w:val="0"/>
          <w:color w:val="000000"/>
          <w:sz w:val="19"/>
        </w:rPr>
        <w:t>Fig. 8.3   Frontend Login Interface ........................................................................................... 23</w:t>
      </w:r>
    </w:p>
    <w:p>
      <w:pPr>
        <w:spacing w:line="360" w:lineRule="auto" w:after="80"/>
        <w:jc w:val="both"/>
      </w:pPr>
      <w:r>
        <w:rPr>
          <w:rFonts w:ascii="Courier New" w:hAnsi="Courier New"/>
          <w:b w:val="0"/>
          <w:i w:val="0"/>
          <w:color w:val="000000"/>
          <w:sz w:val="19"/>
        </w:rPr>
        <w:t>Fig. 8.4   EHR Proxy Dashboard ........................................................................................... 23</w:t>
      </w:r>
    </w:p>
    <w:p>
      <w:pPr>
        <w:spacing w:line="360" w:lineRule="auto" w:after="80"/>
        <w:jc w:val="both"/>
      </w:pPr>
      <w:r>
        <w:rPr>
          <w:rFonts w:ascii="Courier New" w:hAnsi="Courier New"/>
          <w:b w:val="0"/>
          <w:i w:val="0"/>
          <w:color w:val="000000"/>
          <w:sz w:val="19"/>
        </w:rPr>
        <w:t>Fig. 8.5   Clinical Note Prior to Redaction ........................................................................................... 23</w:t>
      </w:r>
    </w:p>
    <w:p>
      <w:pPr>
        <w:spacing w:line="360" w:lineRule="auto" w:after="80"/>
        <w:jc w:val="both"/>
      </w:pPr>
      <w:r>
        <w:rPr>
          <w:rFonts w:ascii="Courier New" w:hAnsi="Courier New"/>
          <w:b w:val="0"/>
          <w:i w:val="0"/>
          <w:color w:val="000000"/>
          <w:sz w:val="19"/>
        </w:rPr>
        <w:t>Fig. 8.6   Live Warning risk pre-check ........................................................................................... 23</w:t>
      </w:r>
    </w:p>
    <w:p>
      <w:pPr>
        <w:spacing w:line="360" w:lineRule="auto" w:after="80"/>
        <w:jc w:val="both"/>
      </w:pPr>
      <w:r>
        <w:rPr>
          <w:rFonts w:ascii="Courier New" w:hAnsi="Courier New"/>
          <w:b w:val="0"/>
          <w:i w:val="0"/>
          <w:color w:val="000000"/>
          <w:sz w:val="19"/>
        </w:rPr>
        <w:t>Fig. 8.7   Redacted Note with Tokens ........................................................................................... 23</w:t>
      </w:r>
    </w:p>
    <w:p>
      <w:pPr>
        <w:spacing w:line="360" w:lineRule="auto" w:after="80"/>
        <w:jc w:val="both"/>
      </w:pPr>
      <w:r>
        <w:rPr>
          <w:rFonts w:ascii="Courier New" w:hAnsi="Courier New"/>
          <w:b w:val="0"/>
          <w:i w:val="0"/>
          <w:color w:val="000000"/>
          <w:sz w:val="19"/>
        </w:rPr>
        <w:t>Fig. 8.8   Side-by-side Visual Diff ........................................................................................... 24</w:t>
      </w:r>
    </w:p>
    <w:p>
      <w:pPr>
        <w:spacing w:line="360" w:lineRule="auto" w:after="80"/>
        <w:jc w:val="both"/>
      </w:pPr>
      <w:r>
        <w:rPr>
          <w:rFonts w:ascii="Courier New" w:hAnsi="Courier New"/>
          <w:b w:val="0"/>
          <w:i w:val="0"/>
          <w:color w:val="000000"/>
          <w:sz w:val="19"/>
        </w:rPr>
        <w:t>Fig. 8.9   Fallback Summarizer Output ........................................................................................... 24</w:t>
      </w:r>
    </w:p>
    <w:p>
      <w:pPr>
        <w:spacing w:line="360" w:lineRule="auto" w:after="80"/>
        <w:jc w:val="both"/>
      </w:pPr>
      <w:r>
        <w:rPr>
          <w:rFonts w:ascii="Courier New" w:hAnsi="Courier New"/>
          <w:b w:val="0"/>
          <w:i w:val="0"/>
          <w:color w:val="000000"/>
          <w:sz w:val="19"/>
        </w:rPr>
        <w:t>Fig. 8.10   Mapped Active Session Keys ........................................................................................... 24</w:t>
      </w:r>
    </w:p>
    <w:p>
      <w:pPr>
        <w:spacing w:line="360" w:lineRule="auto" w:after="80"/>
        <w:jc w:val="both"/>
      </w:pPr>
      <w:r>
        <w:rPr>
          <w:rFonts w:ascii="Courier New" w:hAnsi="Courier New"/>
          <w:b w:val="0"/>
          <w:i w:val="0"/>
          <w:color w:val="000000"/>
          <w:sz w:val="19"/>
        </w:rPr>
        <w:t>Fig. 8.11   Anonymized audit log rows ........................................................................................... 25</w:t>
      </w:r>
    </w:p>
    <w:p>
      <w:pPr>
        <w:spacing w:line="360" w:lineRule="auto" w:after="80"/>
        <w:jc w:val="both"/>
      </w:pPr>
      <w:r>
        <w:rPr>
          <w:rFonts w:ascii="Courier New" w:hAnsi="Courier New"/>
          <w:b w:val="0"/>
          <w:i w:val="0"/>
          <w:color w:val="000000"/>
          <w:sz w:val="19"/>
        </w:rPr>
        <w:t>Fig. 8.12   API Rate Limiter 429 ........................................................................................... 25</w:t>
      </w:r>
    </w:p>
    <w:p>
      <w:pPr>
        <w:spacing w:line="360" w:lineRule="auto" w:after="80"/>
        <w:jc w:val="both"/>
      </w:pPr>
      <w:r>
        <w:rPr>
          <w:rFonts w:ascii="Courier New" w:hAnsi="Courier New"/>
          <w:b w:val="0"/>
          <w:i w:val="0"/>
          <w:color w:val="000000"/>
          <w:sz w:val="19"/>
        </w:rPr>
        <w:t>Fig. 8.13   Redis Session Key Database ........................................................................................... 25</w:t>
      </w:r>
    </w:p>
    <w:p>
      <w:pPr>
        <w:spacing w:line="360" w:lineRule="auto" w:after="80"/>
        <w:jc w:val="both"/>
      </w:pPr>
      <w:r>
        <w:rPr>
          <w:rFonts w:ascii="Courier New" w:hAnsi="Courier New"/>
          <w:b w:val="0"/>
          <w:i w:val="0"/>
          <w:color w:val="000000"/>
          <w:sz w:val="19"/>
        </w:rPr>
        <w:t>Fig. 8.14   Encrypted Redis Values ........................................................................................... 25</w:t>
      </w:r>
    </w:p>
    <w:p>
      <w:pPr>
        <w:spacing w:line="360" w:lineRule="auto" w:after="80"/>
        <w:jc w:val="both"/>
      </w:pPr>
      <w:r>
        <w:rPr>
          <w:rFonts w:ascii="Courier New" w:hAnsi="Courier New"/>
          <w:b w:val="0"/>
          <w:i w:val="0"/>
          <w:color w:val="000000"/>
          <w:sz w:val="19"/>
        </w:rPr>
        <w:t>Fig. 8.15   Pytest 65 Cases Passed ........................................................................................... 25</w:t>
      </w:r>
    </w:p>
    <w:p>
      <w:pPr>
        <w:spacing w:line="360" w:lineRule="auto" w:after="80"/>
        <w:jc w:val="both"/>
      </w:pPr>
      <w:r>
        <w:rPr>
          <w:rFonts w:ascii="Courier New" w:hAnsi="Courier New"/>
          <w:b w:val="0"/>
          <w:i w:val="0"/>
          <w:color w:val="000000"/>
          <w:sz w:val="19"/>
        </w:rPr>
        <w:t>Fig. 8.16   Health-check json payload ........................................................................................... 25</w:t>
      </w:r>
    </w:p>
    <w:p>
      <w:pPr>
        <w:spacing w:line="360" w:lineRule="auto" w:after="80"/>
        <w:jc w:val="both"/>
      </w:pPr>
      <w:r>
        <w:rPr>
          <w:rFonts w:ascii="Courier New" w:hAnsi="Courier New"/>
          <w:b w:val="0"/>
          <w:i w:val="0"/>
          <w:color w:val="000000"/>
          <w:sz w:val="19"/>
        </w:rPr>
        <w:t>Fig. 8.17   Pattern validator outputs ........................................................................................... 25</w:t>
      </w:r>
    </w:p>
    <w:p>
      <w:pPr>
        <w:spacing w:line="360" w:lineRule="auto" w:after="80"/>
        <w:jc w:val="both"/>
      </w:pPr>
      <w:r>
        <w:rPr>
          <w:rFonts w:ascii="Courier New" w:hAnsi="Courier New"/>
          <w:b w:val="0"/>
          <w:i w:val="0"/>
          <w:color w:val="000000"/>
          <w:sz w:val="19"/>
        </w:rPr>
        <w:t>Fig. 8.18   HIPAA coverage reports ........................................................................................... 25</w:t>
      </w:r>
    </w:p>
    <w:p>
      <w:pPr>
        <w:spacing w:line="360" w:lineRule="auto" w:after="80"/>
        <w:jc w:val="both"/>
      </w:pPr>
      <w:r>
        <w:rPr>
          <w:rFonts w:ascii="Courier New" w:hAnsi="Courier New"/>
          <w:b w:val="0"/>
          <w:i w:val="0"/>
          <w:color w:val="000000"/>
          <w:sz w:val="19"/>
        </w:rPr>
        <w:t>Fig. 8.19   Accuracy scorer summary ........................................................................................... 25</w:t>
      </w:r>
    </w:p>
    <w:p>
      <w:r>
        <w:br w:type="page"/>
      </w:r>
    </w:p>
    <w:p>
      <w:pPr>
        <w:jc w:val="center"/>
      </w:pPr>
      <w:r>
        <w:rPr>
          <w:rFonts w:ascii="Times New Roman" w:hAnsi="Times New Roman"/>
          <w:b/>
          <w:i w:val="0"/>
          <w:color w:val="000000"/>
          <w:sz w:val="32"/>
        </w:rPr>
        <w:t>LIST OF TABLES</w:t>
        <w:br/>
        <w:br/>
      </w:r>
    </w:p>
    <w:p>
      <w:pPr>
        <w:spacing w:line="360" w:lineRule="auto" w:after="80"/>
        <w:jc w:val="both"/>
      </w:pPr>
      <w:r>
        <w:rPr>
          <w:rFonts w:ascii="Courier New" w:hAnsi="Courier New"/>
          <w:b w:val="0"/>
          <w:i w:val="0"/>
          <w:color w:val="000000"/>
          <w:sz w:val="19"/>
        </w:rPr>
        <w:t>Table 1.1   Safe Harbor 18 Protected Identifiers .......................................................................... 2</w:t>
      </w:r>
    </w:p>
    <w:p>
      <w:pPr>
        <w:spacing w:line="360" w:lineRule="auto" w:after="80"/>
        <w:jc w:val="both"/>
      </w:pPr>
      <w:r>
        <w:rPr>
          <w:rFonts w:ascii="Courier New" w:hAnsi="Courier New"/>
          <w:b w:val="0"/>
          <w:i w:val="0"/>
          <w:color w:val="000000"/>
          <w:sz w:val="19"/>
        </w:rPr>
        <w:t>Table 2.1   Technology Stack Matrix ........................................................................................... 4</w:t>
      </w:r>
    </w:p>
    <w:p>
      <w:pPr>
        <w:spacing w:line="360" w:lineRule="auto" w:after="80"/>
        <w:jc w:val="both"/>
      </w:pPr>
      <w:r>
        <w:rPr>
          <w:rFonts w:ascii="Courier New" w:hAnsi="Courier New"/>
          <w:b w:val="0"/>
          <w:i w:val="0"/>
          <w:color w:val="000000"/>
          <w:sz w:val="19"/>
        </w:rPr>
        <w:t>Table 3.1   Software Requirements Table ........................................................................................... 6</w:t>
      </w:r>
    </w:p>
    <w:p>
      <w:pPr>
        <w:spacing w:line="360" w:lineRule="auto" w:after="80"/>
        <w:jc w:val="both"/>
      </w:pPr>
      <w:r>
        <w:rPr>
          <w:rFonts w:ascii="Courier New" w:hAnsi="Courier New"/>
          <w:b w:val="0"/>
          <w:i w:val="0"/>
          <w:color w:val="000000"/>
          <w:sz w:val="19"/>
        </w:rPr>
        <w:t>Table 3.2   Hardware Requirements Table ........................................................................................... 6</w:t>
      </w:r>
    </w:p>
    <w:p>
      <w:pPr>
        <w:spacing w:line="360" w:lineRule="auto" w:after="80"/>
        <w:jc w:val="both"/>
      </w:pPr>
      <w:r>
        <w:rPr>
          <w:rFonts w:ascii="Courier New" w:hAnsi="Courier New"/>
          <w:b w:val="0"/>
          <w:i w:val="0"/>
          <w:color w:val="000000"/>
          <w:sz w:val="19"/>
        </w:rPr>
        <w:t>Table 5.1   Flask Gateway Routes ........................................................................................... 12</w:t>
      </w:r>
    </w:p>
    <w:p>
      <w:pPr>
        <w:spacing w:line="360" w:lineRule="auto" w:after="80"/>
        <w:jc w:val="both"/>
      </w:pPr>
      <w:r>
        <w:rPr>
          <w:rFonts w:ascii="Courier New" w:hAnsi="Courier New"/>
          <w:b w:val="0"/>
          <w:i w:val="0"/>
          <w:color w:val="000000"/>
          <w:sz w:val="19"/>
        </w:rPr>
        <w:t>Table 5.2   Presidio Entity Configs ........................................................................................... 14</w:t>
      </w:r>
    </w:p>
    <w:p>
      <w:pPr>
        <w:spacing w:line="360" w:lineRule="auto" w:after="80"/>
        <w:jc w:val="both"/>
      </w:pPr>
      <w:r>
        <w:rPr>
          <w:rFonts w:ascii="Courier New" w:hAnsi="Courier New"/>
          <w:b w:val="0"/>
          <w:i w:val="0"/>
          <w:color w:val="000000"/>
          <w:sz w:val="19"/>
        </w:rPr>
        <w:t>Table 6.1   Regex priority overlap rankings ........................................................................................... 17</w:t>
      </w:r>
    </w:p>
    <w:p>
      <w:pPr>
        <w:spacing w:line="360" w:lineRule="auto" w:after="80"/>
        <w:jc w:val="both"/>
      </w:pPr>
      <w:r>
        <w:rPr>
          <w:rFonts w:ascii="Courier New" w:hAnsi="Courier New"/>
          <w:b w:val="0"/>
          <w:i w:val="0"/>
          <w:color w:val="000000"/>
          <w:sz w:val="19"/>
        </w:rPr>
        <w:t>Table 7.1   Pytest test suite layout ........................................................................................... 21</w:t>
      </w:r>
    </w:p>
    <w:p>
      <w:pPr>
        <w:spacing w:line="360" w:lineRule="auto" w:after="80"/>
        <w:jc w:val="both"/>
      </w:pPr>
      <w:r>
        <w:rPr>
          <w:rFonts w:ascii="Courier New" w:hAnsi="Courier New"/>
          <w:b w:val="0"/>
          <w:i w:val="0"/>
          <w:color w:val="000000"/>
          <w:sz w:val="19"/>
        </w:rPr>
        <w:t>Table 7.2   Pattern validator assertion test cases ........................................................................................... 22</w:t>
      </w:r>
    </w:p>
    <w:p>
      <w:pPr>
        <w:spacing w:line="360" w:lineRule="auto" w:after="80"/>
        <w:jc w:val="both"/>
      </w:pPr>
      <w:r>
        <w:rPr>
          <w:rFonts w:ascii="Courier New" w:hAnsi="Courier New"/>
          <w:b w:val="0"/>
          <w:i w:val="0"/>
          <w:color w:val="000000"/>
          <w:sz w:val="19"/>
        </w:rPr>
        <w:t>Table 7.3   Test execution results metrics ........................................................................................... 22</w:t>
      </w:r>
    </w:p>
    <w:p>
      <w:r>
        <w:br w:type="page"/>
      </w:r>
    </w:p>
    <w:p>
      <w:pPr>
        <w:jc w:val="center"/>
      </w:pPr>
      <w:r>
        <w:rPr>
          <w:rFonts w:ascii="Times New Roman" w:hAnsi="Times New Roman"/>
          <w:b/>
          <w:i w:val="0"/>
          <w:color w:val="000000"/>
          <w:sz w:val="32"/>
        </w:rPr>
        <w:t>DESCRIPTION OF COMPANY / ORGANIZATION</w:t>
        <w:br/>
        <w:br/>
      </w:r>
    </w:p>
    <w:p>
      <w:pPr>
        <w:spacing w:line="360" w:lineRule="auto" w:after="240"/>
        <w:jc w:val="both"/>
      </w:pPr>
      <w:r>
        <w:rPr>
          <w:rFonts w:ascii="Times New Roman" w:hAnsi="Times New Roman"/>
          <w:b w:val="0"/>
          <w:i w:val="0"/>
          <w:color w:val="000000"/>
          <w:sz w:val="24"/>
        </w:rPr>
        <w:t>Infotact Solutions is a technology firm specializing in cybersecurity services, cloud infrastructure automation, and compliance-based software solutions. With its headquarters located in Bengaluru, Karnataka, the firm serves clients across clinical, retail, and financial verticals, assisting organizations in implementing secure application architectures and data governance guardrails. During the internship period, the student was assigned to the Application Security Group responsible for building secure API gateway proxies and regulatory compliance testing templates.</w:t>
      </w:r>
    </w:p>
    <w:p>
      <w:pPr>
        <w:spacing w:line="360" w:lineRule="auto" w:after="240"/>
        <w:jc w:val="both"/>
      </w:pPr>
      <w:r>
        <w:rPr>
          <w:rFonts w:ascii="Times New Roman" w:hAnsi="Times New Roman"/>
          <w:b w:val="0"/>
          <w:i w:val="0"/>
          <w:color w:val="000000"/>
          <w:sz w:val="24"/>
        </w:rPr>
        <w:t>The administrative structure at Infotact Solutions is organized into three primary operational blocks: Security Engineering, DevSecOps Pipelines, and Quality Assurance Testing. The project team reported directly to Chandan Mishra (External Mentor), collaborating on a hybrid rules-based and NLP redaction framework designed to minimize data exposure risk during LLM processing.</w:t>
      </w:r>
    </w:p>
    <w:p>
      <w:r>
        <w:br w:type="page"/>
      </w:r>
    </w:p>
    <w:p>
      <w:pPr>
        <w:sectPr>
          <w:headerReference w:type="default" r:id="rId9"/>
          <w:footerReference w:type="default" r:id="rId10"/>
          <w:pgSz w:w="12240" w:h="15840"/>
          <w:pgMar w:top="1440" w:right="1440" w:bottom="1440" w:left="1800" w:header="720" w:footer="720" w:gutter="0"/>
          <w:cols w:space="720"/>
          <w:docGrid w:linePitch="360"/>
        </w:sectPr>
      </w:pPr>
    </w:p>
    <w:p>
      <w:pPr>
        <w:spacing w:before="240" w:after="240"/>
        <w:jc w:val="left"/>
      </w:pPr>
      <w:r>
        <w:rPr>
          <w:rFonts w:ascii="Times New Roman" w:hAnsi="Times New Roman"/>
          <w:b/>
          <w:i w:val="0"/>
          <w:color w:val="000000"/>
          <w:sz w:val="32"/>
        </w:rPr>
        <w:t>CHAPTER 1 — INTRODUCTION</w:t>
      </w:r>
    </w:p>
    <w:p>
      <w:pPr>
        <w:spacing w:line="360" w:lineRule="auto" w:after="240"/>
        <w:jc w:val="both"/>
      </w:pPr>
      <w:r>
        <w:rPr>
          <w:rFonts w:ascii="Times New Roman" w:hAnsi="Times New Roman"/>
          <w:b w:val="0"/>
          <w:i w:val="0"/>
          <w:color w:val="000000"/>
          <w:sz w:val="24"/>
        </w:rPr>
        <w:t>1.1   BACKGROUND</w:t>
        <w:br/>
        <w:t>Modern healthcare ecosystems rely extensively on digitized medical record storage and integration frameworks. While digital integration speeds clinical decision support and improves administrative efficiency, it exposes highly sensitive patient information to cyber breaches and data leaks. As healthcare systems incorporate artificial intelligence (AI) and large language models (LLMs) to automatically summarize doctor notes or suggest next diagnostic checks, protecting sensitive patient details becomes a top priority. Raw patient notes must be de-identified before they are transmitted to cloud-based or third-party LLM providers.</w:t>
      </w:r>
    </w:p>
    <w:p>
      <w:pPr>
        <w:spacing w:line="360" w:lineRule="auto" w:after="240"/>
        <w:jc w:val="both"/>
      </w:pPr>
      <w:r>
        <w:rPr>
          <w:rFonts w:ascii="Times New Roman" w:hAnsi="Times New Roman"/>
          <w:b w:val="0"/>
          <w:i w:val="0"/>
          <w:color w:val="000000"/>
          <w:sz w:val="24"/>
        </w:rPr>
        <w:t>1.2   DATA PRIVACY IN HEALTHCARE</w:t>
        <w:br/>
        <w:t>Data privacy in healthcare is governed by strict regulatory rules such as the Health Insurance Portability and Accountability Act (HIPAA) in the United States and the Digital Personal Data Protection (DPDP) Act in India. Under HIPAA rules, Protected Health Information (PHI) includes any health status, provision of healthcare, or healthcare payment data that can be linked to a specific patient. Organizations that fail to de-identify data prior to external storage or API dispatch face severe financial penalties and legal liability.</w:t>
      </w:r>
    </w:p>
    <w:p>
      <w:pPr>
        <w:spacing w:line="360" w:lineRule="auto" w:after="240"/>
        <w:jc w:val="both"/>
      </w:pPr>
      <w:r>
        <w:rPr>
          <w:rFonts w:ascii="Times New Roman" w:hAnsi="Times New Roman"/>
          <w:b w:val="0"/>
          <w:i w:val="0"/>
          <w:color w:val="000000"/>
          <w:sz w:val="24"/>
        </w:rPr>
        <w:t>1.3   PERSONALLY IDENTIFIABLE INFORMATION (PII)</w:t>
        <w:br/>
        <w:t>Personally Identifiable Information (PII) represents any data that can be used to distinguish or trace an individual's identity, either alone or when combined with other public records. Examples include full names, national identifiers (Aadhaar cards, Social Security Numbers), email addresses, and phone contacts. In clinical settings, PII is frequently intertwined with medical observations, requiring careful extraction.</w:t>
      </w:r>
    </w:p>
    <w:p>
      <w:pPr>
        <w:spacing w:line="360" w:lineRule="auto" w:after="240"/>
        <w:jc w:val="both"/>
      </w:pPr>
      <w:r>
        <w:rPr>
          <w:rFonts w:ascii="Times New Roman" w:hAnsi="Times New Roman"/>
          <w:b w:val="0"/>
          <w:i w:val="0"/>
          <w:color w:val="000000"/>
          <w:sz w:val="24"/>
        </w:rPr>
        <w:t>1.4   PROTECTED HEALTH INFORMATION (PHI)</w:t>
        <w:br/>
        <w:t>Under the HIPAA Safe Harbor standard, 18 specific categories of identifiers are classified as protected. The system maps its regular expression scanners and NLP extraction rules directly to these categories to ensure high coverage. These 18 identifiers include patient names, dates, phone numbers, fax numbers, email addresses, Social Security Numbers, medical record numbers (MRNs), health plan beneficiary numbers, account numbers, license numbers, vehicle IDs, device serial numbers, URLs, IP addresses, biometric identifiers, full-face photos, and other unique keys.</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Safe Harbor ID</w:t>
            </w:r>
          </w:p>
        </w:tc>
        <w:tc>
          <w:tcPr>
            <w:tcW w:type="dxa" w:w="3000"/>
            <w:tcMar>
              <w:top w:w="100" w:type="dxa"/>
              <w:bottom w:w="100" w:type="dxa"/>
              <w:left w:w="150" w:type="dxa"/>
              <w:right w:w="150" w:type="dxa"/>
            </w:tcMar>
          </w:tcPr>
          <w:p>
            <w:r>
              <w:rPr>
                <w:rFonts w:ascii="Times New Roman" w:hAnsi="Times New Roman"/>
                <w:b/>
                <w:i w:val="0"/>
                <w:color w:val="000000"/>
                <w:sz w:val="21"/>
              </w:rPr>
              <w:t>PHI Type</w:t>
            </w:r>
          </w:p>
        </w:tc>
        <w:tc>
          <w:tcPr>
            <w:tcW w:type="dxa" w:w="3000"/>
            <w:tcMar>
              <w:top w:w="100" w:type="dxa"/>
              <w:bottom w:w="100" w:type="dxa"/>
              <w:left w:w="150" w:type="dxa"/>
              <w:right w:w="150" w:type="dxa"/>
            </w:tcMar>
          </w:tcPr>
          <w:p>
            <w:r>
              <w:rPr>
                <w:rFonts w:ascii="Times New Roman" w:hAnsi="Times New Roman"/>
                <w:b/>
                <w:i w:val="0"/>
                <w:color w:val="000000"/>
                <w:sz w:val="21"/>
              </w:rPr>
              <w:t>Gateway Implementation Status</w:t>
            </w:r>
          </w:p>
        </w:tc>
      </w:tr>
      <w:tr>
        <w:tc>
          <w:tcPr>
            <w:tcW w:type="dxa" w:w="3000"/>
            <w:tcMar>
              <w:top w:w="100" w:type="dxa"/>
              <w:bottom w:w="100" w:type="dxa"/>
              <w:left w:w="150" w:type="dxa"/>
              <w:right w:w="150" w:type="dxa"/>
            </w:tcMar>
          </w:tcPr>
          <w:p>
            <w:r>
              <w:rPr>
                <w:rFonts w:ascii="Times New Roman" w:hAnsi="Times New Roman"/>
                <w:b w:val="0"/>
                <w:i w:val="0"/>
                <w:color w:val="000000"/>
                <w:sz w:val="20"/>
              </w:rPr>
              <w:t>1-8</w:t>
            </w:r>
          </w:p>
        </w:tc>
        <w:tc>
          <w:tcPr>
            <w:tcW w:type="dxa" w:w="3000"/>
            <w:tcMar>
              <w:top w:w="100" w:type="dxa"/>
              <w:bottom w:w="100" w:type="dxa"/>
              <w:left w:w="150" w:type="dxa"/>
              <w:right w:w="150" w:type="dxa"/>
            </w:tcMar>
          </w:tcPr>
          <w:p>
            <w:r>
              <w:rPr>
                <w:rFonts w:ascii="Times New Roman" w:hAnsi="Times New Roman"/>
                <w:b w:val="0"/>
                <w:i w:val="0"/>
                <w:color w:val="000000"/>
                <w:sz w:val="20"/>
              </w:rPr>
              <w:t>Names, Dates, SSN, MRN, Phones</w:t>
            </w:r>
          </w:p>
        </w:tc>
        <w:tc>
          <w:tcPr>
            <w:tcW w:type="dxa" w:w="3000"/>
            <w:tcMar>
              <w:top w:w="100" w:type="dxa"/>
              <w:bottom w:w="100" w:type="dxa"/>
              <w:left w:w="150" w:type="dxa"/>
              <w:right w:w="150" w:type="dxa"/>
            </w:tcMar>
          </w:tcPr>
          <w:p>
            <w:r>
              <w:rPr>
                <w:rFonts w:ascii="Times New Roman" w:hAnsi="Times New Roman"/>
                <w:b w:val="0"/>
                <w:i w:val="0"/>
                <w:color w:val="000000"/>
                <w:sz w:val="20"/>
              </w:rPr>
              <w:t>Implemented via regular expressions and Presidio NLP</w:t>
            </w:r>
          </w:p>
        </w:tc>
      </w:tr>
      <w:tr>
        <w:tc>
          <w:tcPr>
            <w:tcW w:type="dxa" w:w="3000"/>
            <w:tcMar>
              <w:top w:w="100" w:type="dxa"/>
              <w:bottom w:w="100" w:type="dxa"/>
              <w:left w:w="150" w:type="dxa"/>
              <w:right w:w="150" w:type="dxa"/>
            </w:tcMar>
          </w:tcPr>
          <w:p>
            <w:r>
              <w:rPr>
                <w:rFonts w:ascii="Times New Roman" w:hAnsi="Times New Roman"/>
                <w:b w:val="0"/>
                <w:i w:val="0"/>
                <w:color w:val="000000"/>
                <w:sz w:val="20"/>
              </w:rPr>
              <w:t>9-15</w:t>
            </w:r>
          </w:p>
        </w:tc>
        <w:tc>
          <w:tcPr>
            <w:tcW w:type="dxa" w:w="3000"/>
            <w:tcMar>
              <w:top w:w="100" w:type="dxa"/>
              <w:bottom w:w="100" w:type="dxa"/>
              <w:left w:w="150" w:type="dxa"/>
              <w:right w:w="150" w:type="dxa"/>
            </w:tcMar>
          </w:tcPr>
          <w:p>
            <w:r>
              <w:rPr>
                <w:rFonts w:ascii="Times New Roman" w:hAnsi="Times New Roman"/>
                <w:b w:val="0"/>
                <w:i w:val="0"/>
                <w:color w:val="000000"/>
                <w:sz w:val="20"/>
              </w:rPr>
              <w:t>IPs, URLs, License IDs, Device IDs</w:t>
            </w:r>
          </w:p>
        </w:tc>
        <w:tc>
          <w:tcPr>
            <w:tcW w:type="dxa" w:w="3000"/>
            <w:tcMar>
              <w:top w:w="100" w:type="dxa"/>
              <w:bottom w:w="100" w:type="dxa"/>
              <w:left w:w="150" w:type="dxa"/>
              <w:right w:w="150" w:type="dxa"/>
            </w:tcMar>
          </w:tcPr>
          <w:p>
            <w:r>
              <w:rPr>
                <w:rFonts w:ascii="Times New Roman" w:hAnsi="Times New Roman"/>
                <w:b w:val="0"/>
                <w:i w:val="0"/>
                <w:color w:val="000000"/>
                <w:sz w:val="20"/>
              </w:rPr>
              <w:t>Implemented via targeted regular expressions patterns</w:t>
            </w:r>
          </w:p>
        </w:tc>
      </w:tr>
      <w:tr>
        <w:tc>
          <w:tcPr>
            <w:tcW w:type="dxa" w:w="3000"/>
            <w:tcMar>
              <w:top w:w="100" w:type="dxa"/>
              <w:bottom w:w="100" w:type="dxa"/>
              <w:left w:w="150" w:type="dxa"/>
              <w:right w:w="150" w:type="dxa"/>
            </w:tcMar>
          </w:tcPr>
          <w:p>
            <w:r>
              <w:rPr>
                <w:rFonts w:ascii="Times New Roman" w:hAnsi="Times New Roman"/>
                <w:b w:val="0"/>
                <w:i w:val="0"/>
                <w:color w:val="000000"/>
                <w:sz w:val="20"/>
              </w:rPr>
              <w:t>16-18</w:t>
            </w:r>
          </w:p>
        </w:tc>
        <w:tc>
          <w:tcPr>
            <w:tcW w:type="dxa" w:w="3000"/>
            <w:tcMar>
              <w:top w:w="100" w:type="dxa"/>
              <w:bottom w:w="100" w:type="dxa"/>
              <w:left w:w="150" w:type="dxa"/>
              <w:right w:w="150" w:type="dxa"/>
            </w:tcMar>
          </w:tcPr>
          <w:p>
            <w:r>
              <w:rPr>
                <w:rFonts w:ascii="Times New Roman" w:hAnsi="Times New Roman"/>
                <w:b w:val="0"/>
                <w:i w:val="0"/>
                <w:color w:val="000000"/>
                <w:sz w:val="20"/>
              </w:rPr>
              <w:t>Biometrics, Photos, Accounts</w:t>
            </w:r>
          </w:p>
        </w:tc>
        <w:tc>
          <w:tcPr>
            <w:tcW w:type="dxa" w:w="3000"/>
            <w:tcMar>
              <w:top w:w="100" w:type="dxa"/>
              <w:bottom w:w="100" w:type="dxa"/>
              <w:left w:w="150" w:type="dxa"/>
              <w:right w:w="150" w:type="dxa"/>
            </w:tcMar>
          </w:tcPr>
          <w:p>
            <w:r>
              <w:rPr>
                <w:rFonts w:ascii="Times New Roman" w:hAnsi="Times New Roman"/>
                <w:b w:val="0"/>
                <w:i w:val="0"/>
                <w:color w:val="000000"/>
                <w:sz w:val="20"/>
              </w:rPr>
              <w:t>Out of Scope / Future Enhancement</w:t>
            </w:r>
          </w:p>
        </w:tc>
      </w:tr>
    </w:tbl>
    <w:p>
      <w:pPr>
        <w:jc w:val="center"/>
      </w:pPr>
      <w:r>
        <w:rPr>
          <w:rFonts w:ascii="Times New Roman" w:hAnsi="Times New Roman"/>
          <w:b/>
          <w:i/>
          <w:color w:val="000000"/>
          <w:sz w:val="20"/>
        </w:rPr>
        <w:t>Table 1.1   Safe Harbor 18 Protected Identifiers</w:t>
      </w:r>
    </w:p>
    <w:p>
      <w:pPr>
        <w:spacing w:line="360" w:lineRule="auto" w:after="240"/>
        <w:jc w:val="both"/>
      </w:pPr>
      <w:r>
        <w:rPr>
          <w:rFonts w:ascii="Times New Roman" w:hAnsi="Times New Roman"/>
          <w:b w:val="0"/>
          <w:i w:val="0"/>
          <w:color w:val="000000"/>
          <w:sz w:val="24"/>
        </w:rPr>
        <w:t>1.5   PRIVACY RISKS IN LARGE LANGUAGE MODEL APPLICATIONS</w:t>
        <w:br/>
        <w:t>When clinical data is routed directly to external LLM services (e.g., OpenAI or Anthropic), there is a significant risk that the provider may log the prompt text or use it for subsequent model fine-tuning. This could allow sensitive clinical notes to leak into public model outputs, violating patient trust. De-identification proxies are designed to resolve this risk by tokenizing and masking the text before it leaves the local security boundaries.</w:t>
      </w:r>
    </w:p>
    <w:p>
      <w:pPr>
        <w:spacing w:line="360" w:lineRule="auto" w:after="240"/>
        <w:jc w:val="both"/>
      </w:pPr>
      <w:r>
        <w:rPr>
          <w:rFonts w:ascii="Times New Roman" w:hAnsi="Times New Roman"/>
          <w:b w:val="0"/>
          <w:i w:val="0"/>
          <w:color w:val="000000"/>
          <w:sz w:val="24"/>
        </w:rPr>
        <w:t>1.6   NEED FOR AUTOMATED PHI/PII REDACTION</w:t>
        <w:br/>
        <w:t>Manual data scrubbing is highly error-prone, slow, and expensive, especially given the high volume of unstructured clinical notes. Automated redaction pipelines are essential to provide high-speed, consistent de-identification at scale, helping clinical teams leverage conversational AI securely.</w:t>
      </w:r>
    </w:p>
    <w:p>
      <w:pPr>
        <w:spacing w:line="360" w:lineRule="auto" w:after="240"/>
        <w:jc w:val="both"/>
      </w:pPr>
      <w:r>
        <w:rPr>
          <w:rFonts w:ascii="Times New Roman" w:hAnsi="Times New Roman"/>
          <w:b w:val="0"/>
          <w:i w:val="0"/>
          <w:color w:val="000000"/>
          <w:sz w:val="24"/>
        </w:rPr>
        <w:t>1.7   PROBLEM STATEMENT</w:t>
        <w:br/>
        <w:t>Clinical workflows require a de-identification engine that can parse patient notes, replace sensitive identifiers with session-scoped, non-reversible tokens, query external LLMs securely, and restore the patient's identities in the return response for the doctor. The system must handle overlapping structured codes (like Aadhaar numbers and date digits) without double-redacting them or breaking text structures.</w:t>
      </w:r>
    </w:p>
    <w:p>
      <w:pPr>
        <w:spacing w:line="360" w:lineRule="auto" w:after="240"/>
        <w:jc w:val="both"/>
      </w:pPr>
      <w:r>
        <w:rPr>
          <w:rFonts w:ascii="Times New Roman" w:hAnsi="Times New Roman"/>
          <w:b w:val="0"/>
          <w:i w:val="0"/>
          <w:color w:val="000000"/>
          <w:sz w:val="24"/>
        </w:rPr>
        <w:t>1.8   OBJECTIVES OF THE PROJECT</w:t>
        <w:br/>
        <w:t>The primary objectives of the project are to: (a) Detect 13 distinct types of structured PHI using regular expression matching; (b) Incorporate Named Entity Recognition (NER) to locate patient names and geographical entities; (c) Resolve overlapping text spans using a length-priority greedy matrix; (d) Store encrypted session mappings securely in Redis with automatic TTL self-destruction; (e) Dynamically restore clinical identifiers in safe LLM responses; and (f) Provide an interface for clinicians to audit notes and view logs.</w:t>
      </w:r>
    </w:p>
    <w:p>
      <w:pPr>
        <w:spacing w:line="360" w:lineRule="auto" w:after="240"/>
        <w:jc w:val="both"/>
      </w:pPr>
      <w:r>
        <w:rPr>
          <w:rFonts w:ascii="Times New Roman" w:hAnsi="Times New Roman"/>
          <w:b w:val="0"/>
          <w:i w:val="0"/>
          <w:color w:val="000000"/>
          <w:sz w:val="24"/>
        </w:rPr>
        <w:t>1.9   SCOPE OF THE PROJECT</w:t>
        <w:br/>
        <w:t>The scope is restricted to the de-identification of unstructured clinical text notes processed during active session workflows. Biometric scans, image inputs, and speech-to-text pipelines are outside the implementation scope.</w:t>
      </w:r>
    </w:p>
    <w:p>
      <w:r>
        <w:br w:type="page"/>
      </w:r>
    </w:p>
    <w:p>
      <w:pPr>
        <w:spacing w:before="240" w:after="240"/>
        <w:jc w:val="left"/>
      </w:pPr>
      <w:r>
        <w:rPr>
          <w:rFonts w:ascii="Times New Roman" w:hAnsi="Times New Roman"/>
          <w:b/>
          <w:i w:val="0"/>
          <w:color w:val="000000"/>
          <w:sz w:val="32"/>
        </w:rPr>
        <w:t>CHAPTER 2 — PROJECT DEFINITION</w:t>
      </w:r>
    </w:p>
    <w:p>
      <w:pPr>
        <w:spacing w:line="360" w:lineRule="auto" w:after="240"/>
        <w:jc w:val="both"/>
      </w:pPr>
      <w:r>
        <w:rPr>
          <w:rFonts w:ascii="Times New Roman" w:hAnsi="Times New Roman"/>
          <w:b w:val="0"/>
          <w:i w:val="0"/>
          <w:color w:val="000000"/>
          <w:sz w:val="24"/>
        </w:rPr>
        <w:t>2.1   PROJECT OVERVIEW</w:t>
        <w:br/>
        <w:t>The system is built as a secure EHR gateway proxy between medical databases and external Large Language Models (LLMs). It consists of a vanilla CSS/JS single-page frontend, a Python-Flask backend proxy, parallel regular expression and spaCy/Presidio NLP scanners, a length-priority greedy overlap resolver, and an encrypted Redis token vault. Transaction metrics are written to a size-rotating local audit log file.</w:t>
      </w:r>
    </w:p>
    <w:p>
      <w:pPr>
        <w:spacing w:line="360" w:lineRule="auto" w:after="240"/>
        <w:jc w:val="both"/>
      </w:pPr>
      <w:r>
        <w:rPr>
          <w:rFonts w:ascii="Times New Roman" w:hAnsi="Times New Roman"/>
          <w:b w:val="0"/>
          <w:i w:val="0"/>
          <w:color w:val="000000"/>
          <w:sz w:val="24"/>
        </w:rPr>
        <w:t>2.2   EXISTING SYSTEM</w:t>
        <w:br/>
        <w:t>Traditional healthcare organizations rely on manual scrubbing or simple, static regex scripts. These approaches suffer from high false-negative rates, do not scale to unstructured formats, and often break nested text structures by double-redacting digits inside URLs or emails, rendering the notes unreadable by LLMs.</w:t>
      </w:r>
    </w:p>
    <w:p>
      <w:pPr>
        <w:spacing w:line="360" w:lineRule="auto" w:after="240"/>
        <w:jc w:val="both"/>
      </w:pPr>
      <w:r>
        <w:rPr>
          <w:rFonts w:ascii="Times New Roman" w:hAnsi="Times New Roman"/>
          <w:b w:val="0"/>
          <w:i w:val="0"/>
          <w:color w:val="000000"/>
          <w:sz w:val="24"/>
        </w:rPr>
        <w:t>2.3   PROPOSED SYSTEM</w:t>
        <w:br/>
        <w:t>The proposed system resolves these limits by implementing a hybrid detection pipeline. Structured numbers (dates, Aadhaar, SSN, MRN) are captured with high precision by regex patterns, while unstructured names are flagged by the Presidio NLP wrapper. Overlap resolution prioritization matrix ensures that longer, high-priority matches (like emails) claim text blocks first. Mapping data is Fernet-encrypted and cached in Redis under a strict 30-minute self-destruction TTL policy.</w:t>
      </w:r>
    </w:p>
    <w:p>
      <w:pPr>
        <w:spacing w:line="360" w:lineRule="auto" w:after="240"/>
        <w:jc w:val="both"/>
      </w:pPr>
      <w:r>
        <w:rPr>
          <w:rFonts w:ascii="Times New Roman" w:hAnsi="Times New Roman"/>
          <w:b w:val="0"/>
          <w:i w:val="0"/>
          <w:color w:val="000000"/>
          <w:sz w:val="24"/>
        </w:rPr>
        <w:t>2.4   TECHNOLOGY STACK</w:t>
        <w:br/>
        <w:t>The core backend is implemented in Python using the Flask framework. Microsoft Presidio and spaCy en_core_web_sm handle Named Entity Recognition. Redis stores bidirectional mapping states, using the cryptography library's Fernet module for encrypting PHI at rest. The client side uses HTML and CSS styled with Tabler icons.</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Component Layer</w:t>
            </w:r>
          </w:p>
        </w:tc>
        <w:tc>
          <w:tcPr>
            <w:tcW w:type="dxa" w:w="3000"/>
            <w:tcMar>
              <w:top w:w="100" w:type="dxa"/>
              <w:bottom w:w="100" w:type="dxa"/>
              <w:left w:w="150" w:type="dxa"/>
              <w:right w:w="150" w:type="dxa"/>
            </w:tcMar>
          </w:tcPr>
          <w:p>
            <w:r>
              <w:rPr>
                <w:rFonts w:ascii="Times New Roman" w:hAnsi="Times New Roman"/>
                <w:b/>
                <w:i w:val="0"/>
                <w:color w:val="000000"/>
                <w:sz w:val="21"/>
              </w:rPr>
              <w:t>Framework / Library</w:t>
            </w:r>
          </w:p>
        </w:tc>
        <w:tc>
          <w:tcPr>
            <w:tcW w:type="dxa" w:w="3000"/>
            <w:tcMar>
              <w:top w:w="100" w:type="dxa"/>
              <w:bottom w:w="100" w:type="dxa"/>
              <w:left w:w="150" w:type="dxa"/>
              <w:right w:w="150" w:type="dxa"/>
            </w:tcMar>
          </w:tcPr>
          <w:p>
            <w:r>
              <w:rPr>
                <w:rFonts w:ascii="Times New Roman" w:hAnsi="Times New Roman"/>
                <w:b/>
                <w:i w:val="0"/>
                <w:color w:val="000000"/>
                <w:sz w:val="21"/>
              </w:rPr>
              <w:t>Version &amp; Verification Status</w:t>
            </w:r>
          </w:p>
        </w:tc>
      </w:tr>
      <w:tr>
        <w:tc>
          <w:tcPr>
            <w:tcW w:type="dxa" w:w="3000"/>
            <w:tcMar>
              <w:top w:w="100" w:type="dxa"/>
              <w:bottom w:w="100" w:type="dxa"/>
              <w:left w:w="150" w:type="dxa"/>
              <w:right w:w="150" w:type="dxa"/>
            </w:tcMar>
          </w:tcPr>
          <w:p>
            <w:r>
              <w:rPr>
                <w:rFonts w:ascii="Times New Roman" w:hAnsi="Times New Roman"/>
                <w:b w:val="0"/>
                <w:i w:val="0"/>
                <w:color w:val="000000"/>
                <w:sz w:val="20"/>
              </w:rPr>
              <w:t>Web API Routing</w:t>
            </w:r>
          </w:p>
        </w:tc>
        <w:tc>
          <w:tcPr>
            <w:tcW w:type="dxa" w:w="3000"/>
            <w:tcMar>
              <w:top w:w="100" w:type="dxa"/>
              <w:bottom w:w="100" w:type="dxa"/>
              <w:left w:w="150" w:type="dxa"/>
              <w:right w:w="150" w:type="dxa"/>
            </w:tcMar>
          </w:tcPr>
          <w:p>
            <w:r>
              <w:rPr>
                <w:rFonts w:ascii="Times New Roman" w:hAnsi="Times New Roman"/>
                <w:b w:val="0"/>
                <w:i w:val="0"/>
                <w:color w:val="000000"/>
                <w:sz w:val="20"/>
              </w:rPr>
              <w:t>Flask</w:t>
            </w:r>
          </w:p>
        </w:tc>
        <w:tc>
          <w:tcPr>
            <w:tcW w:type="dxa" w:w="3000"/>
            <w:tcMar>
              <w:top w:w="100" w:type="dxa"/>
              <w:bottom w:w="100" w:type="dxa"/>
              <w:left w:w="150" w:type="dxa"/>
              <w:right w:w="150" w:type="dxa"/>
            </w:tcMar>
          </w:tcPr>
          <w:p>
            <w:r>
              <w:rPr>
                <w:rFonts w:ascii="Times New Roman" w:hAnsi="Times New Roman"/>
                <w:b w:val="0"/>
                <w:i w:val="0"/>
                <w:color w:val="000000"/>
                <w:sz w:val="20"/>
              </w:rPr>
              <w:t>v3.0.3 (Verified via pip requirements)</w:t>
            </w:r>
          </w:p>
        </w:tc>
      </w:tr>
      <w:tr>
        <w:tc>
          <w:tcPr>
            <w:tcW w:type="dxa" w:w="3000"/>
            <w:tcMar>
              <w:top w:w="100" w:type="dxa"/>
              <w:bottom w:w="100" w:type="dxa"/>
              <w:left w:w="150" w:type="dxa"/>
              <w:right w:w="150" w:type="dxa"/>
            </w:tcMar>
          </w:tcPr>
          <w:p>
            <w:r>
              <w:rPr>
                <w:rFonts w:ascii="Times New Roman" w:hAnsi="Times New Roman"/>
                <w:b w:val="0"/>
                <w:i w:val="0"/>
                <w:color w:val="000000"/>
                <w:sz w:val="20"/>
              </w:rPr>
              <w:t>Token Cache Store</w:t>
            </w:r>
          </w:p>
        </w:tc>
        <w:tc>
          <w:tcPr>
            <w:tcW w:type="dxa" w:w="3000"/>
            <w:tcMar>
              <w:top w:w="100" w:type="dxa"/>
              <w:bottom w:w="100" w:type="dxa"/>
              <w:left w:w="150" w:type="dxa"/>
              <w:right w:w="150" w:type="dxa"/>
            </w:tcMar>
          </w:tcPr>
          <w:p>
            <w:r>
              <w:rPr>
                <w:rFonts w:ascii="Times New Roman" w:hAnsi="Times New Roman"/>
                <w:b w:val="0"/>
                <w:i w:val="0"/>
                <w:color w:val="000000"/>
                <w:sz w:val="20"/>
              </w:rPr>
              <w:t>Redis / fakeredis</w:t>
            </w:r>
          </w:p>
        </w:tc>
        <w:tc>
          <w:tcPr>
            <w:tcW w:type="dxa" w:w="3000"/>
            <w:tcMar>
              <w:top w:w="100" w:type="dxa"/>
              <w:bottom w:w="100" w:type="dxa"/>
              <w:left w:w="150" w:type="dxa"/>
              <w:right w:w="150" w:type="dxa"/>
            </w:tcMar>
          </w:tcPr>
          <w:p>
            <w:r>
              <w:rPr>
                <w:rFonts w:ascii="Times New Roman" w:hAnsi="Times New Roman"/>
                <w:b w:val="0"/>
                <w:i w:val="0"/>
                <w:color w:val="000000"/>
                <w:sz w:val="20"/>
              </w:rPr>
              <w:t>v5.0.7 / v2.23.2 (Verified in docker-compose)</w:t>
            </w:r>
          </w:p>
        </w:tc>
      </w:tr>
      <w:tr>
        <w:tc>
          <w:tcPr>
            <w:tcW w:type="dxa" w:w="3000"/>
            <w:tcMar>
              <w:top w:w="100" w:type="dxa"/>
              <w:bottom w:w="100" w:type="dxa"/>
              <w:left w:w="150" w:type="dxa"/>
              <w:right w:w="150" w:type="dxa"/>
            </w:tcMar>
          </w:tcPr>
          <w:p>
            <w:r>
              <w:rPr>
                <w:rFonts w:ascii="Times New Roman" w:hAnsi="Times New Roman"/>
                <w:b w:val="0"/>
                <w:i w:val="0"/>
                <w:color w:val="000000"/>
                <w:sz w:val="20"/>
              </w:rPr>
              <w:t>NLP NER Scanner</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w:t>
            </w:r>
          </w:p>
        </w:tc>
        <w:tc>
          <w:tcPr>
            <w:tcW w:type="dxa" w:w="3000"/>
            <w:tcMar>
              <w:top w:w="100" w:type="dxa"/>
              <w:bottom w:w="100" w:type="dxa"/>
              <w:left w:w="150" w:type="dxa"/>
              <w:right w:w="150" w:type="dxa"/>
            </w:tcMar>
          </w:tcPr>
          <w:p>
            <w:r>
              <w:rPr>
                <w:rFonts w:ascii="Times New Roman" w:hAnsi="Times New Roman"/>
                <w:b w:val="0"/>
                <w:i w:val="0"/>
                <w:color w:val="000000"/>
                <w:sz w:val="20"/>
              </w:rPr>
              <w:t>v2.2.354 / v3.7.5 (Model en_core_web_sm verified)</w:t>
            </w:r>
          </w:p>
        </w:tc>
      </w:tr>
      <w:tr>
        <w:tc>
          <w:tcPr>
            <w:tcW w:type="dxa" w:w="3000"/>
            <w:tcMar>
              <w:top w:w="100" w:type="dxa"/>
              <w:bottom w:w="100" w:type="dxa"/>
              <w:left w:w="150" w:type="dxa"/>
              <w:right w:w="150" w:type="dxa"/>
            </w:tcMar>
          </w:tcPr>
          <w:p>
            <w:r>
              <w:rPr>
                <w:rFonts w:ascii="Times New Roman" w:hAnsi="Times New Roman"/>
                <w:b w:val="0"/>
                <w:i w:val="0"/>
                <w:color w:val="000000"/>
                <w:sz w:val="20"/>
              </w:rPr>
              <w:t>Security Crypto</w:t>
            </w:r>
          </w:p>
        </w:tc>
        <w:tc>
          <w:tcPr>
            <w:tcW w:type="dxa" w:w="3000"/>
            <w:tcMar>
              <w:top w:w="100" w:type="dxa"/>
              <w:bottom w:w="100" w:type="dxa"/>
              <w:left w:w="150" w:type="dxa"/>
              <w:right w:w="150" w:type="dxa"/>
            </w:tcMar>
          </w:tcPr>
          <w:p>
            <w:r>
              <w:rPr>
                <w:rFonts w:ascii="Times New Roman" w:hAnsi="Times New Roman"/>
                <w:b w:val="0"/>
                <w:i w:val="0"/>
                <w:color w:val="000000"/>
                <w:sz w:val="20"/>
              </w:rPr>
              <w:t>cryptography (Fernet)</w:t>
            </w:r>
          </w:p>
        </w:tc>
        <w:tc>
          <w:tcPr>
            <w:tcW w:type="dxa" w:w="3000"/>
            <w:tcMar>
              <w:top w:w="100" w:type="dxa"/>
              <w:bottom w:w="100" w:type="dxa"/>
              <w:left w:w="150" w:type="dxa"/>
              <w:right w:w="150" w:type="dxa"/>
            </w:tcMar>
          </w:tcPr>
          <w:p>
            <w:r>
              <w:rPr>
                <w:rFonts w:ascii="Times New Roman" w:hAnsi="Times New Roman"/>
                <w:b w:val="0"/>
                <w:i w:val="0"/>
                <w:color w:val="000000"/>
                <w:sz w:val="20"/>
              </w:rPr>
              <w:t>v42.0.8 (AES-128-CBC key encryption verified)</w:t>
            </w:r>
          </w:p>
        </w:tc>
      </w:tr>
    </w:tbl>
    <w:p>
      <w:pPr>
        <w:jc w:val="center"/>
      </w:pPr>
      <w:r>
        <w:rPr>
          <w:rFonts w:ascii="Times New Roman" w:hAnsi="Times New Roman"/>
          <w:b/>
          <w:i/>
          <w:color w:val="000000"/>
          <w:sz w:val="20"/>
        </w:rPr>
        <w:t>Table 2.1   Technology Stack Matrix</w:t>
      </w:r>
    </w:p>
    <w:p>
      <w:pPr>
        <w:spacing w:line="360" w:lineRule="auto" w:after="240"/>
        <w:jc w:val="both"/>
      </w:pPr>
      <w:r>
        <w:rPr>
          <w:rFonts w:ascii="Times New Roman" w:hAnsi="Times New Roman"/>
          <w:b w:val="0"/>
          <w:i w:val="0"/>
          <w:color w:val="000000"/>
          <w:sz w:val="24"/>
        </w:rPr>
        <w:t>2.5   KEY FEATURES OF THE SYSTEM</w:t>
        <w:br/>
        <w:t>Key system features include: (1) Hybrid rules-based and NLP redaction; (2) Priority-based greedy overlap resolution; (3) Encrypted bidirectional Redis session vault; (4) Dynamic context-aware local fallback summarizer; (5) Stateless validation pre-check endpoint (~1.29ms); (6) IP-based rate limiting (max 20 req/min); (7) Size-based rotating compliance audit logging; and (8) Visual HTML diff output files.</w:t>
      </w:r>
    </w:p>
    <w:p>
      <w:r>
        <w:br w:type="page"/>
      </w:r>
    </w:p>
    <w:p>
      <w:pPr>
        <w:spacing w:before="240" w:after="240"/>
        <w:jc w:val="left"/>
      </w:pPr>
      <w:r>
        <w:rPr>
          <w:rFonts w:ascii="Times New Roman" w:hAnsi="Times New Roman"/>
          <w:b/>
          <w:i w:val="0"/>
          <w:color w:val="000000"/>
          <w:sz w:val="32"/>
        </w:rPr>
        <w:t>CHAPTER 3 — SYSTEM REQUIREMENTS</w:t>
      </w:r>
    </w:p>
    <w:p>
      <w:pPr>
        <w:spacing w:line="360" w:lineRule="auto" w:after="240"/>
        <w:jc w:val="both"/>
      </w:pPr>
      <w:r>
        <w:rPr>
          <w:rFonts w:ascii="Times New Roman" w:hAnsi="Times New Roman"/>
          <w:b w:val="0"/>
          <w:i w:val="0"/>
          <w:color w:val="000000"/>
          <w:sz w:val="24"/>
        </w:rPr>
        <w:t>3.1   SOFTWARE REQUIREMENTS</w:t>
        <w:br/>
        <w:t>The software stack utilizes the following components: Operating System: Ubuntu 24.04 LTS or macOS Sequoia. Backend Framework: Flask 3.0.3. Database Client: Redis 5.0.7 with local fallback via fakeredis 2.23.2. NLP Engine: spacy 3.7.5 and presidio-analyzer 2.2.354. Encryption: cryptography 42.0.8 (Fernet). Testing: Pytest 9.1.1. Version Control: Git &amp; GitHub.</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Dependency</w:t>
            </w:r>
          </w:p>
        </w:tc>
        <w:tc>
          <w:tcPr>
            <w:tcW w:type="dxa" w:w="3000"/>
            <w:tcMar>
              <w:top w:w="100" w:type="dxa"/>
              <w:bottom w:w="100" w:type="dxa"/>
              <w:left w:w="150" w:type="dxa"/>
              <w:right w:w="150" w:type="dxa"/>
            </w:tcMar>
          </w:tcPr>
          <w:p>
            <w:r>
              <w:rPr>
                <w:rFonts w:ascii="Times New Roman" w:hAnsi="Times New Roman"/>
                <w:b/>
                <w:i w:val="0"/>
                <w:color w:val="000000"/>
                <w:sz w:val="21"/>
              </w:rPr>
              <w:t>Requirement Version</w:t>
            </w:r>
          </w:p>
        </w:tc>
        <w:tc>
          <w:tcPr>
            <w:tcW w:type="dxa" w:w="3000"/>
            <w:tcMar>
              <w:top w:w="100" w:type="dxa"/>
              <w:bottom w:w="100" w:type="dxa"/>
              <w:left w:w="150" w:type="dxa"/>
              <w:right w:w="150" w:type="dxa"/>
            </w:tcMar>
          </w:tcPr>
          <w:p>
            <w:r>
              <w:rPr>
                <w:rFonts w:ascii="Times New Roman" w:hAnsi="Times New Roman"/>
                <w:b/>
                <w:i w:val="0"/>
                <w:color w:val="000000"/>
                <w:sz w:val="21"/>
              </w:rPr>
              <w:t>Purpose</w:t>
            </w:r>
          </w:p>
        </w:tc>
      </w:tr>
      <w:tr>
        <w:tc>
          <w:tcPr>
            <w:tcW w:type="dxa" w:w="3000"/>
            <w:tcMar>
              <w:top w:w="100" w:type="dxa"/>
              <w:bottom w:w="100" w:type="dxa"/>
              <w:left w:w="150" w:type="dxa"/>
              <w:right w:w="150" w:type="dxa"/>
            </w:tcMar>
          </w:tcPr>
          <w:p>
            <w:r>
              <w:rPr>
                <w:rFonts w:ascii="Times New Roman" w:hAnsi="Times New Roman"/>
                <w:b w:val="0"/>
                <w:i w:val="0"/>
                <w:color w:val="000000"/>
                <w:sz w:val="20"/>
              </w:rPr>
              <w:t>Python</w:t>
            </w:r>
          </w:p>
        </w:tc>
        <w:tc>
          <w:tcPr>
            <w:tcW w:type="dxa" w:w="3000"/>
            <w:tcMar>
              <w:top w:w="100" w:type="dxa"/>
              <w:bottom w:w="100" w:type="dxa"/>
              <w:left w:w="150" w:type="dxa"/>
              <w:right w:w="150" w:type="dxa"/>
            </w:tcMar>
          </w:tcPr>
          <w:p>
            <w:r>
              <w:rPr>
                <w:rFonts w:ascii="Times New Roman" w:hAnsi="Times New Roman"/>
                <w:b w:val="0"/>
                <w:i w:val="0"/>
                <w:color w:val="000000"/>
                <w:sz w:val="20"/>
              </w:rPr>
              <w:t>3.11+</w:t>
            </w:r>
          </w:p>
        </w:tc>
        <w:tc>
          <w:tcPr>
            <w:tcW w:type="dxa" w:w="3000"/>
            <w:tcMar>
              <w:top w:w="100" w:type="dxa"/>
              <w:bottom w:w="100" w:type="dxa"/>
              <w:left w:w="150" w:type="dxa"/>
              <w:right w:w="150" w:type="dxa"/>
            </w:tcMar>
          </w:tcPr>
          <w:p>
            <w:r>
              <w:rPr>
                <w:rFonts w:ascii="Times New Roman" w:hAnsi="Times New Roman"/>
                <w:b w:val="0"/>
                <w:i w:val="0"/>
                <w:color w:val="000000"/>
                <w:sz w:val="20"/>
              </w:rPr>
              <w:t>Core execution runtime</w:t>
            </w:r>
          </w:p>
        </w:tc>
      </w:tr>
      <w:tr>
        <w:tc>
          <w:tcPr>
            <w:tcW w:type="dxa" w:w="3000"/>
            <w:tcMar>
              <w:top w:w="100" w:type="dxa"/>
              <w:bottom w:w="100" w:type="dxa"/>
              <w:left w:w="150" w:type="dxa"/>
              <w:right w:w="150" w:type="dxa"/>
            </w:tcMar>
          </w:tcPr>
          <w:p>
            <w:r>
              <w:rPr>
                <w:rFonts w:ascii="Times New Roman" w:hAnsi="Times New Roman"/>
                <w:b w:val="0"/>
                <w:i w:val="0"/>
                <w:color w:val="000000"/>
                <w:sz w:val="20"/>
              </w:rPr>
              <w:t>Flask</w:t>
            </w:r>
          </w:p>
        </w:tc>
        <w:tc>
          <w:tcPr>
            <w:tcW w:type="dxa" w:w="3000"/>
            <w:tcMar>
              <w:top w:w="100" w:type="dxa"/>
              <w:bottom w:w="100" w:type="dxa"/>
              <w:left w:w="150" w:type="dxa"/>
              <w:right w:w="150" w:type="dxa"/>
            </w:tcMar>
          </w:tcPr>
          <w:p>
            <w:r>
              <w:rPr>
                <w:rFonts w:ascii="Times New Roman" w:hAnsi="Times New Roman"/>
                <w:b w:val="0"/>
                <w:i w:val="0"/>
                <w:color w:val="000000"/>
                <w:sz w:val="20"/>
              </w:rPr>
              <w:t>3.0.3</w:t>
            </w:r>
          </w:p>
        </w:tc>
        <w:tc>
          <w:tcPr>
            <w:tcW w:type="dxa" w:w="3000"/>
            <w:tcMar>
              <w:top w:w="100" w:type="dxa"/>
              <w:bottom w:w="100" w:type="dxa"/>
              <w:left w:w="150" w:type="dxa"/>
              <w:right w:w="150" w:type="dxa"/>
            </w:tcMar>
          </w:tcPr>
          <w:p>
            <w:r>
              <w:rPr>
                <w:rFonts w:ascii="Times New Roman" w:hAnsi="Times New Roman"/>
                <w:b w:val="0"/>
                <w:i w:val="0"/>
                <w:color w:val="000000"/>
                <w:sz w:val="20"/>
              </w:rPr>
              <w:t>Stateless REST API endpoints server</w:t>
            </w:r>
          </w:p>
        </w:tc>
      </w:tr>
      <w:tr>
        <w:tc>
          <w:tcPr>
            <w:tcW w:type="dxa" w:w="3000"/>
            <w:tcMar>
              <w:top w:w="100" w:type="dxa"/>
              <w:bottom w:w="100" w:type="dxa"/>
              <w:left w:w="150" w:type="dxa"/>
              <w:right w:w="150" w:type="dxa"/>
            </w:tcMar>
          </w:tcPr>
          <w:p>
            <w:r>
              <w:rPr>
                <w:rFonts w:ascii="Times New Roman" w:hAnsi="Times New Roman"/>
                <w:b w:val="0"/>
                <w:i w:val="0"/>
                <w:color w:val="000000"/>
                <w:sz w:val="20"/>
              </w:rPr>
              <w:t>Redis</w:t>
            </w:r>
          </w:p>
        </w:tc>
        <w:tc>
          <w:tcPr>
            <w:tcW w:type="dxa" w:w="3000"/>
            <w:tcMar>
              <w:top w:w="100" w:type="dxa"/>
              <w:bottom w:w="100" w:type="dxa"/>
              <w:left w:w="150" w:type="dxa"/>
              <w:right w:w="150" w:type="dxa"/>
            </w:tcMar>
          </w:tcPr>
          <w:p>
            <w:r>
              <w:rPr>
                <w:rFonts w:ascii="Times New Roman" w:hAnsi="Times New Roman"/>
                <w:b w:val="0"/>
                <w:i w:val="0"/>
                <w:color w:val="000000"/>
                <w:sz w:val="20"/>
              </w:rPr>
              <w:t>5.0.7</w:t>
            </w:r>
          </w:p>
        </w:tc>
        <w:tc>
          <w:tcPr>
            <w:tcW w:type="dxa" w:w="3000"/>
            <w:tcMar>
              <w:top w:w="100" w:type="dxa"/>
              <w:bottom w:w="100" w:type="dxa"/>
              <w:left w:w="150" w:type="dxa"/>
              <w:right w:w="150" w:type="dxa"/>
            </w:tcMar>
          </w:tcPr>
          <w:p>
            <w:r>
              <w:rPr>
                <w:rFonts w:ascii="Times New Roman" w:hAnsi="Times New Roman"/>
                <w:b w:val="0"/>
                <w:i w:val="0"/>
                <w:color w:val="000000"/>
                <w:sz w:val="20"/>
              </w:rPr>
              <w:t>Token vault session database caching</w:t>
            </w:r>
          </w:p>
        </w:tc>
      </w:tr>
      <w:tr>
        <w:tc>
          <w:tcPr>
            <w:tcW w:type="dxa" w:w="3000"/>
            <w:tcMar>
              <w:top w:w="100" w:type="dxa"/>
              <w:bottom w:w="100" w:type="dxa"/>
              <w:left w:w="150" w:type="dxa"/>
              <w:right w:w="150" w:type="dxa"/>
            </w:tcMar>
          </w:tcPr>
          <w:p>
            <w:r>
              <w:rPr>
                <w:rFonts w:ascii="Times New Roman" w:hAnsi="Times New Roman"/>
                <w:b w:val="0"/>
                <w:i w:val="0"/>
                <w:color w:val="000000"/>
                <w:sz w:val="20"/>
              </w:rPr>
              <w:t>spaCy</w:t>
            </w:r>
          </w:p>
        </w:tc>
        <w:tc>
          <w:tcPr>
            <w:tcW w:type="dxa" w:w="3000"/>
            <w:tcMar>
              <w:top w:w="100" w:type="dxa"/>
              <w:bottom w:w="100" w:type="dxa"/>
              <w:left w:w="150" w:type="dxa"/>
              <w:right w:w="150" w:type="dxa"/>
            </w:tcMar>
          </w:tcPr>
          <w:p>
            <w:r>
              <w:rPr>
                <w:rFonts w:ascii="Times New Roman" w:hAnsi="Times New Roman"/>
                <w:b w:val="0"/>
                <w:i w:val="0"/>
                <w:color w:val="000000"/>
                <w:sz w:val="20"/>
              </w:rPr>
              <w:t>3.7.5</w:t>
            </w:r>
          </w:p>
        </w:tc>
        <w:tc>
          <w:tcPr>
            <w:tcW w:type="dxa" w:w="3000"/>
            <w:tcMar>
              <w:top w:w="100" w:type="dxa"/>
              <w:bottom w:w="100" w:type="dxa"/>
              <w:left w:w="150" w:type="dxa"/>
              <w:right w:w="150" w:type="dxa"/>
            </w:tcMar>
          </w:tcPr>
          <w:p>
            <w:r>
              <w:rPr>
                <w:rFonts w:ascii="Times New Roman" w:hAnsi="Times New Roman"/>
                <w:b w:val="0"/>
                <w:i w:val="0"/>
                <w:color w:val="000000"/>
                <w:sz w:val="20"/>
              </w:rPr>
              <w:t>NLP NER model loading engine</w:t>
            </w:r>
          </w:p>
        </w:tc>
      </w:tr>
      <w:tr>
        <w:tc>
          <w:tcPr>
            <w:tcW w:type="dxa" w:w="3000"/>
            <w:tcMar>
              <w:top w:w="100" w:type="dxa"/>
              <w:bottom w:w="100" w:type="dxa"/>
              <w:left w:w="150" w:type="dxa"/>
              <w:right w:w="150" w:type="dxa"/>
            </w:tcMar>
          </w:tcPr>
          <w:p>
            <w:r>
              <w:rPr>
                <w:rFonts w:ascii="Times New Roman" w:hAnsi="Times New Roman"/>
                <w:b w:val="0"/>
                <w:i w:val="0"/>
                <w:color w:val="000000"/>
                <w:sz w:val="20"/>
              </w:rPr>
              <w:t>Pytest</w:t>
            </w:r>
          </w:p>
        </w:tc>
        <w:tc>
          <w:tcPr>
            <w:tcW w:type="dxa" w:w="3000"/>
            <w:tcMar>
              <w:top w:w="100" w:type="dxa"/>
              <w:bottom w:w="100" w:type="dxa"/>
              <w:left w:w="150" w:type="dxa"/>
              <w:right w:w="150" w:type="dxa"/>
            </w:tcMar>
          </w:tcPr>
          <w:p>
            <w:r>
              <w:rPr>
                <w:rFonts w:ascii="Times New Roman" w:hAnsi="Times New Roman"/>
                <w:b w:val="0"/>
                <w:i w:val="0"/>
                <w:color w:val="000000"/>
                <w:sz w:val="20"/>
              </w:rPr>
              <w:t>9.1.1</w:t>
            </w:r>
          </w:p>
        </w:tc>
        <w:tc>
          <w:tcPr>
            <w:tcW w:type="dxa" w:w="3000"/>
            <w:tcMar>
              <w:top w:w="100" w:type="dxa"/>
              <w:bottom w:w="100" w:type="dxa"/>
              <w:left w:w="150" w:type="dxa"/>
              <w:right w:w="150" w:type="dxa"/>
            </w:tcMar>
          </w:tcPr>
          <w:p>
            <w:r>
              <w:rPr>
                <w:rFonts w:ascii="Times New Roman" w:hAnsi="Times New Roman"/>
                <w:b w:val="0"/>
                <w:i w:val="0"/>
                <w:color w:val="000000"/>
                <w:sz w:val="20"/>
              </w:rPr>
              <w:t>Automated validation testing suite</w:t>
            </w:r>
          </w:p>
        </w:tc>
      </w:tr>
    </w:tbl>
    <w:p>
      <w:pPr>
        <w:jc w:val="center"/>
      </w:pPr>
      <w:r>
        <w:rPr>
          <w:rFonts w:ascii="Times New Roman" w:hAnsi="Times New Roman"/>
          <w:b/>
          <w:i/>
          <w:color w:val="000000"/>
          <w:sz w:val="20"/>
        </w:rPr>
        <w:t>Table 3.1   Software Requirements Table</w:t>
      </w:r>
    </w:p>
    <w:p>
      <w:pPr>
        <w:spacing w:line="360" w:lineRule="auto" w:after="240"/>
        <w:jc w:val="both"/>
      </w:pPr>
      <w:r>
        <w:rPr>
          <w:rFonts w:ascii="Times New Roman" w:hAnsi="Times New Roman"/>
          <w:b w:val="0"/>
          <w:i w:val="0"/>
          <w:color w:val="000000"/>
          <w:sz w:val="24"/>
        </w:rPr>
        <w:t>3.2   HARDWARE REQUIREMENTS</w:t>
        <w:br/>
        <w:t>The minimum hardware specs required to run model inference locally: Processor: Intel Core i5 / AMD Ryzen 5 or higher. RAM: Minimum 8 GB (16 GB recommended for NLP models). Storage: Minimum 256 GB SSD. Internet Connection: Required for initial model downloads. Display: HD Display (1366 x 768) or higher.</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Hardware Component</w:t>
            </w:r>
          </w:p>
        </w:tc>
        <w:tc>
          <w:tcPr>
            <w:tcW w:type="dxa" w:w="3000"/>
            <w:tcMar>
              <w:top w:w="100" w:type="dxa"/>
              <w:bottom w:w="100" w:type="dxa"/>
              <w:left w:w="150" w:type="dxa"/>
              <w:right w:w="150" w:type="dxa"/>
            </w:tcMar>
          </w:tcPr>
          <w:p>
            <w:r>
              <w:rPr>
                <w:rFonts w:ascii="Times New Roman" w:hAnsi="Times New Roman"/>
                <w:b/>
                <w:i w:val="0"/>
                <w:color w:val="000000"/>
                <w:sz w:val="21"/>
              </w:rPr>
              <w:t>Minimum Specification</w:t>
            </w:r>
          </w:p>
        </w:tc>
        <w:tc>
          <w:tcPr>
            <w:tcW w:type="dxa" w:w="3000"/>
            <w:tcMar>
              <w:top w:w="100" w:type="dxa"/>
              <w:bottom w:w="100" w:type="dxa"/>
              <w:left w:w="150" w:type="dxa"/>
              <w:right w:w="150" w:type="dxa"/>
            </w:tcMar>
          </w:tcPr>
          <w:p>
            <w:r>
              <w:rPr>
                <w:rFonts w:ascii="Times New Roman" w:hAnsi="Times New Roman"/>
                <w:b/>
                <w:i w:val="0"/>
                <w:color w:val="000000"/>
                <w:sz w:val="21"/>
              </w:rPr>
              <w:t>Recommended Specification</w:t>
            </w:r>
          </w:p>
        </w:tc>
      </w:tr>
      <w:tr>
        <w:tc>
          <w:tcPr>
            <w:tcW w:type="dxa" w:w="3000"/>
            <w:tcMar>
              <w:top w:w="100" w:type="dxa"/>
              <w:bottom w:w="100" w:type="dxa"/>
              <w:left w:w="150" w:type="dxa"/>
              <w:right w:w="150" w:type="dxa"/>
            </w:tcMar>
          </w:tcPr>
          <w:p>
            <w:r>
              <w:rPr>
                <w:rFonts w:ascii="Times New Roman" w:hAnsi="Times New Roman"/>
                <w:b w:val="0"/>
                <w:i w:val="0"/>
                <w:color w:val="000000"/>
                <w:sz w:val="20"/>
              </w:rPr>
              <w:t>Processor CPU</w:t>
            </w:r>
          </w:p>
        </w:tc>
        <w:tc>
          <w:tcPr>
            <w:tcW w:type="dxa" w:w="3000"/>
            <w:tcMar>
              <w:top w:w="100" w:type="dxa"/>
              <w:bottom w:w="100" w:type="dxa"/>
              <w:left w:w="150" w:type="dxa"/>
              <w:right w:w="150" w:type="dxa"/>
            </w:tcMar>
          </w:tcPr>
          <w:p>
            <w:r>
              <w:rPr>
                <w:rFonts w:ascii="Times New Roman" w:hAnsi="Times New Roman"/>
                <w:b w:val="0"/>
                <w:i w:val="0"/>
                <w:color w:val="000000"/>
                <w:sz w:val="20"/>
              </w:rPr>
              <w:t>Intel Core i5 / AMD Ryzen 5</w:t>
            </w:r>
          </w:p>
        </w:tc>
        <w:tc>
          <w:tcPr>
            <w:tcW w:type="dxa" w:w="3000"/>
            <w:tcMar>
              <w:top w:w="100" w:type="dxa"/>
              <w:bottom w:w="100" w:type="dxa"/>
              <w:left w:w="150" w:type="dxa"/>
              <w:right w:w="150" w:type="dxa"/>
            </w:tcMar>
          </w:tcPr>
          <w:p>
            <w:r>
              <w:rPr>
                <w:rFonts w:ascii="Times New Roman" w:hAnsi="Times New Roman"/>
                <w:b w:val="0"/>
                <w:i w:val="0"/>
                <w:color w:val="000000"/>
                <w:sz w:val="20"/>
              </w:rPr>
              <w:t>Intel Core i7 / Apple Silicon M2</w:t>
            </w:r>
          </w:p>
        </w:tc>
      </w:tr>
      <w:tr>
        <w:tc>
          <w:tcPr>
            <w:tcW w:type="dxa" w:w="3000"/>
            <w:tcMar>
              <w:top w:w="100" w:type="dxa"/>
              <w:bottom w:w="100" w:type="dxa"/>
              <w:left w:w="150" w:type="dxa"/>
              <w:right w:w="150" w:type="dxa"/>
            </w:tcMar>
          </w:tcPr>
          <w:p>
            <w:r>
              <w:rPr>
                <w:rFonts w:ascii="Times New Roman" w:hAnsi="Times New Roman"/>
                <w:b w:val="0"/>
                <w:i w:val="0"/>
                <w:color w:val="000000"/>
                <w:sz w:val="20"/>
              </w:rPr>
              <w:t>System Memory RAM</w:t>
            </w:r>
          </w:p>
        </w:tc>
        <w:tc>
          <w:tcPr>
            <w:tcW w:type="dxa" w:w="3000"/>
            <w:tcMar>
              <w:top w:w="100" w:type="dxa"/>
              <w:bottom w:w="100" w:type="dxa"/>
              <w:left w:w="150" w:type="dxa"/>
              <w:right w:w="150" w:type="dxa"/>
            </w:tcMar>
          </w:tcPr>
          <w:p>
            <w:r>
              <w:rPr>
                <w:rFonts w:ascii="Times New Roman" w:hAnsi="Times New Roman"/>
                <w:b w:val="0"/>
                <w:i w:val="0"/>
                <w:color w:val="000000"/>
                <w:sz w:val="20"/>
              </w:rPr>
              <w:t>8 GB RAM</w:t>
            </w:r>
          </w:p>
        </w:tc>
        <w:tc>
          <w:tcPr>
            <w:tcW w:type="dxa" w:w="3000"/>
            <w:tcMar>
              <w:top w:w="100" w:type="dxa"/>
              <w:bottom w:w="100" w:type="dxa"/>
              <w:left w:w="150" w:type="dxa"/>
              <w:right w:w="150" w:type="dxa"/>
            </w:tcMar>
          </w:tcPr>
          <w:p>
            <w:r>
              <w:rPr>
                <w:rFonts w:ascii="Times New Roman" w:hAnsi="Times New Roman"/>
                <w:b w:val="0"/>
                <w:i w:val="0"/>
                <w:color w:val="000000"/>
                <w:sz w:val="20"/>
              </w:rPr>
              <w:t>16 GB RAM (for parallel Presidio/spaCy runs)</w:t>
            </w:r>
          </w:p>
        </w:tc>
      </w:tr>
      <w:tr>
        <w:tc>
          <w:tcPr>
            <w:tcW w:type="dxa" w:w="3000"/>
            <w:tcMar>
              <w:top w:w="100" w:type="dxa"/>
              <w:bottom w:w="100" w:type="dxa"/>
              <w:left w:w="150" w:type="dxa"/>
              <w:right w:w="150" w:type="dxa"/>
            </w:tcMar>
          </w:tcPr>
          <w:p>
            <w:r>
              <w:rPr>
                <w:rFonts w:ascii="Times New Roman" w:hAnsi="Times New Roman"/>
                <w:b w:val="0"/>
                <w:i w:val="0"/>
                <w:color w:val="000000"/>
                <w:sz w:val="20"/>
              </w:rPr>
              <w:t>Disk Storage SSD</w:t>
            </w:r>
          </w:p>
        </w:tc>
        <w:tc>
          <w:tcPr>
            <w:tcW w:type="dxa" w:w="3000"/>
            <w:tcMar>
              <w:top w:w="100" w:type="dxa"/>
              <w:bottom w:w="100" w:type="dxa"/>
              <w:left w:w="150" w:type="dxa"/>
              <w:right w:w="150" w:type="dxa"/>
            </w:tcMar>
          </w:tcPr>
          <w:p>
            <w:r>
              <w:rPr>
                <w:rFonts w:ascii="Times New Roman" w:hAnsi="Times New Roman"/>
                <w:b w:val="0"/>
                <w:i w:val="0"/>
                <w:color w:val="000000"/>
                <w:sz w:val="20"/>
              </w:rPr>
              <w:t>256 GB SSD</w:t>
            </w:r>
          </w:p>
        </w:tc>
        <w:tc>
          <w:tcPr>
            <w:tcW w:type="dxa" w:w="3000"/>
            <w:tcMar>
              <w:top w:w="100" w:type="dxa"/>
              <w:bottom w:w="100" w:type="dxa"/>
              <w:left w:w="150" w:type="dxa"/>
              <w:right w:w="150" w:type="dxa"/>
            </w:tcMar>
          </w:tcPr>
          <w:p>
            <w:r>
              <w:rPr>
                <w:rFonts w:ascii="Times New Roman" w:hAnsi="Times New Roman"/>
                <w:b w:val="0"/>
                <w:i w:val="0"/>
                <w:color w:val="000000"/>
                <w:sz w:val="20"/>
              </w:rPr>
              <w:t>512 GB SSD (NVMe high-speed swap)</w:t>
            </w:r>
          </w:p>
        </w:tc>
      </w:tr>
    </w:tbl>
    <w:p>
      <w:pPr>
        <w:jc w:val="center"/>
      </w:pPr>
      <w:r>
        <w:rPr>
          <w:rFonts w:ascii="Times New Roman" w:hAnsi="Times New Roman"/>
          <w:b/>
          <w:i/>
          <w:color w:val="000000"/>
          <w:sz w:val="20"/>
        </w:rPr>
        <w:t>Table 3.2   Hardware Requirements Table</w:t>
      </w:r>
    </w:p>
    <w:p>
      <w:pPr>
        <w:spacing w:line="360" w:lineRule="auto" w:after="240"/>
        <w:jc w:val="both"/>
      </w:pPr>
      <w:r>
        <w:rPr>
          <w:rFonts w:ascii="Times New Roman" w:hAnsi="Times New Roman"/>
          <w:b w:val="0"/>
          <w:i w:val="0"/>
          <w:color w:val="000000"/>
          <w:sz w:val="24"/>
        </w:rPr>
        <w:t>3.3   DEVELOPMENT AND VALIDATION TOOLS</w:t>
        <w:br/>
        <w:t>Visual Studio Code is used as the primary source code editor. API endpoints are validated using curl commands. Automated validation is performed via the pytest suite, while the regex rules are tested against the pattern_validator script. The complete local development and testing pipeline flowchart is visualized below in Figure 3.1.</w:t>
      </w:r>
    </w:p>
    <w:p>
      <w:pPr>
        <w:jc w:val="center"/>
      </w:pPr>
      <w:r>
        <w:drawing>
          <wp:inline xmlns:a="http://schemas.openxmlformats.org/drawingml/2006/main" xmlns:pic="http://schemas.openxmlformats.org/drawingml/2006/picture">
            <wp:extent cx="5029200" cy="297334"/>
            <wp:docPr id="1" name="Picture 1"/>
            <wp:cNvGraphicFramePr>
              <a:graphicFrameLocks noChangeAspect="1"/>
            </wp:cNvGraphicFramePr>
            <a:graphic>
              <a:graphicData uri="http://schemas.openxmlformats.org/drawingml/2006/picture">
                <pic:pic>
                  <pic:nvPicPr>
                    <pic:cNvPr id="0" name="development_workflow.png"/>
                    <pic:cNvPicPr/>
                  </pic:nvPicPr>
                  <pic:blipFill>
                    <a:blip r:embed="rId13"/>
                    <a:stretch>
                      <a:fillRect/>
                    </a:stretch>
                  </pic:blipFill>
                  <pic:spPr>
                    <a:xfrm>
                      <a:off x="0" y="0"/>
                      <a:ext cx="5029200" cy="297334"/>
                    </a:xfrm>
                    <a:prstGeom prst="rect"/>
                  </pic:spPr>
                </pic:pic>
              </a:graphicData>
            </a:graphic>
          </wp:inline>
        </w:drawing>
      </w:r>
    </w:p>
    <w:p>
      <w:pPr>
        <w:spacing w:before="120" w:after="240"/>
        <w:jc w:val="center"/>
      </w:pPr>
      <w:r>
        <w:rPr>
          <w:rFonts w:ascii="Times New Roman" w:hAnsi="Times New Roman"/>
          <w:b/>
          <w:i/>
          <w:color w:val="000000"/>
          <w:sz w:val="20"/>
        </w:rPr>
        <w:t>Fig. 3.1   Local Development &amp; Validation Flowchart</w:t>
      </w:r>
    </w:p>
    <w:p>
      <w:r>
        <w:br w:type="page"/>
      </w:r>
    </w:p>
    <w:p>
      <w:pPr>
        <w:spacing w:before="240" w:after="240"/>
        <w:jc w:val="left"/>
      </w:pPr>
      <w:r>
        <w:rPr>
          <w:rFonts w:ascii="Times New Roman" w:hAnsi="Times New Roman"/>
          <w:b/>
          <w:i w:val="0"/>
          <w:color w:val="000000"/>
          <w:sz w:val="32"/>
        </w:rPr>
        <w:t>CHAPTER 4 — SYSTEM DESIGN AND ARCHITECTURE</w:t>
      </w:r>
    </w:p>
    <w:p>
      <w:pPr>
        <w:spacing w:line="360" w:lineRule="auto" w:after="240"/>
        <w:jc w:val="both"/>
      </w:pPr>
      <w:r>
        <w:rPr>
          <w:rFonts w:ascii="Times New Roman" w:hAnsi="Times New Roman"/>
          <w:b w:val="0"/>
          <w:i w:val="0"/>
          <w:color w:val="000000"/>
          <w:sz w:val="24"/>
        </w:rPr>
        <w:t>4.1   SYSTEM ARCHITECTURE</w:t>
        <w:br/>
        <w:t>The system follows a decoupled 3-tier gateway structure. The user interface layer dispatches clinical text to the Flask router layer. The backend routes the raw text through the hybrid Regex/NLP redaction engines, resolves overlapping matches, and calls the Redis Token Vault to swap PHI values with tokens. The de-identified text is then routed to external LLM providers.</w:t>
      </w:r>
    </w:p>
    <w:p>
      <w:pPr>
        <w:jc w:val="center"/>
      </w:pPr>
      <w:r>
        <w:drawing>
          <wp:inline xmlns:a="http://schemas.openxmlformats.org/drawingml/2006/main" xmlns:pic="http://schemas.openxmlformats.org/drawingml/2006/picture">
            <wp:extent cx="5029200" cy="5173157"/>
            <wp:docPr id="2" name="Picture 2"/>
            <wp:cNvGraphicFramePr>
              <a:graphicFrameLocks noChangeAspect="1"/>
            </wp:cNvGraphicFramePr>
            <a:graphic>
              <a:graphicData uri="http://schemas.openxmlformats.org/drawingml/2006/picture">
                <pic:pic>
                  <pic:nvPicPr>
                    <pic:cNvPr id="0" name="overall_architecture.png"/>
                    <pic:cNvPicPr/>
                  </pic:nvPicPr>
                  <pic:blipFill>
                    <a:blip r:embed="rId14"/>
                    <a:stretch>
                      <a:fillRect/>
                    </a:stretch>
                  </pic:blipFill>
                  <pic:spPr>
                    <a:xfrm>
                      <a:off x="0" y="0"/>
                      <a:ext cx="5029200" cy="5173157"/>
                    </a:xfrm>
                    <a:prstGeom prst="rect"/>
                  </pic:spPr>
                </pic:pic>
              </a:graphicData>
            </a:graphic>
          </wp:inline>
        </w:drawing>
      </w:r>
    </w:p>
    <w:p>
      <w:pPr>
        <w:spacing w:before="120" w:after="240"/>
        <w:jc w:val="center"/>
      </w:pPr>
      <w:r>
        <w:rPr>
          <w:rFonts w:ascii="Times New Roman" w:hAnsi="Times New Roman"/>
          <w:b/>
          <w:i/>
          <w:color w:val="000000"/>
          <w:sz w:val="20"/>
        </w:rPr>
        <w:t>Fig. 4.1   Overall System Architecture Diagram</w:t>
      </w:r>
    </w:p>
    <w:p>
      <w:pPr>
        <w:spacing w:line="360" w:lineRule="auto" w:after="240"/>
        <w:jc w:val="both"/>
      </w:pPr>
      <w:r>
        <w:rPr>
          <w:rFonts w:ascii="Times New Roman" w:hAnsi="Times New Roman"/>
          <w:b w:val="0"/>
          <w:i w:val="0"/>
          <w:color w:val="000000"/>
          <w:sz w:val="24"/>
        </w:rPr>
        <w:t>4.2   SYSTEM WORKFLOW</w:t>
        <w:br/>
        <w:t>When a note is submitted, the backend validates its length and checks the rate limits. The Regex and NLP engines scan the text in parallel. The overlap resolver merges the results, and the Token Store generates encrypted session keys. After the LLM returns the summary, the vault restores the original names. The hybrid redaction workflow is shown in Figure 4.2.</w:t>
      </w:r>
    </w:p>
    <w:p>
      <w:pPr>
        <w:jc w:val="center"/>
      </w:pPr>
      <w:r>
        <w:drawing>
          <wp:inline xmlns:a="http://schemas.openxmlformats.org/drawingml/2006/main" xmlns:pic="http://schemas.openxmlformats.org/drawingml/2006/picture">
            <wp:extent cx="5029200" cy="783463"/>
            <wp:docPr id="3" name="Picture 3"/>
            <wp:cNvGraphicFramePr>
              <a:graphicFrameLocks noChangeAspect="1"/>
            </wp:cNvGraphicFramePr>
            <a:graphic>
              <a:graphicData uri="http://schemas.openxmlformats.org/drawingml/2006/picture">
                <pic:pic>
                  <pic:nvPicPr>
                    <pic:cNvPr id="0" name="hybrid_redaction_pipeline.png"/>
                    <pic:cNvPicPr/>
                  </pic:nvPicPr>
                  <pic:blipFill>
                    <a:blip r:embed="rId15"/>
                    <a:stretch>
                      <a:fillRect/>
                    </a:stretch>
                  </pic:blipFill>
                  <pic:spPr>
                    <a:xfrm>
                      <a:off x="0" y="0"/>
                      <a:ext cx="5029200" cy="783463"/>
                    </a:xfrm>
                    <a:prstGeom prst="rect"/>
                  </pic:spPr>
                </pic:pic>
              </a:graphicData>
            </a:graphic>
          </wp:inline>
        </w:drawing>
      </w:r>
    </w:p>
    <w:p>
      <w:pPr>
        <w:spacing w:before="120" w:after="240"/>
        <w:jc w:val="center"/>
      </w:pPr>
      <w:r>
        <w:rPr>
          <w:rFonts w:ascii="Times New Roman" w:hAnsi="Times New Roman"/>
          <w:b/>
          <w:i/>
          <w:color w:val="000000"/>
          <w:sz w:val="20"/>
        </w:rPr>
        <w:t>Fig. 4.2   Hybrid Redaction Pipeline Flowchart</w:t>
      </w:r>
    </w:p>
    <w:p>
      <w:pPr>
        <w:spacing w:line="360" w:lineRule="auto" w:after="240"/>
        <w:jc w:val="both"/>
      </w:pPr>
      <w:r>
        <w:rPr>
          <w:rFonts w:ascii="Times New Roman" w:hAnsi="Times New Roman"/>
          <w:b w:val="0"/>
          <w:i w:val="0"/>
          <w:color w:val="000000"/>
          <w:sz w:val="24"/>
        </w:rPr>
        <w:t>Additionally, the sequence of transactions that execute for an end-to-end de-identification and restoration query is mapped in Figure 4.3 below.</w:t>
      </w:r>
    </w:p>
    <w:p>
      <w:pPr>
        <w:jc w:val="center"/>
      </w:pPr>
      <w:r>
        <w:drawing>
          <wp:inline xmlns:a="http://schemas.openxmlformats.org/drawingml/2006/main" xmlns:pic="http://schemas.openxmlformats.org/drawingml/2006/picture">
            <wp:extent cx="5029200" cy="3274330"/>
            <wp:docPr id="4" name="Picture 4"/>
            <wp:cNvGraphicFramePr>
              <a:graphicFrameLocks noChangeAspect="1"/>
            </wp:cNvGraphicFramePr>
            <a:graphic>
              <a:graphicData uri="http://schemas.openxmlformats.org/drawingml/2006/picture">
                <pic:pic>
                  <pic:nvPicPr>
                    <pic:cNvPr id="0" name="request_lifecycle.png"/>
                    <pic:cNvPicPr/>
                  </pic:nvPicPr>
                  <pic:blipFill>
                    <a:blip r:embed="rId16"/>
                    <a:stretch>
                      <a:fillRect/>
                    </a:stretch>
                  </pic:blipFill>
                  <pic:spPr>
                    <a:xfrm>
                      <a:off x="0" y="0"/>
                      <a:ext cx="5029200" cy="3274330"/>
                    </a:xfrm>
                    <a:prstGeom prst="rect"/>
                  </pic:spPr>
                </pic:pic>
              </a:graphicData>
            </a:graphic>
          </wp:inline>
        </w:drawing>
      </w:r>
    </w:p>
    <w:p>
      <w:pPr>
        <w:spacing w:before="120" w:after="240"/>
        <w:jc w:val="center"/>
      </w:pPr>
      <w:r>
        <w:rPr>
          <w:rFonts w:ascii="Times New Roman" w:hAnsi="Times New Roman"/>
          <w:b/>
          <w:i/>
          <w:color w:val="000000"/>
          <w:sz w:val="20"/>
        </w:rPr>
        <w:t>Fig. 4.3   End-to-End Request Lifecycle Flowchart</w:t>
      </w:r>
    </w:p>
    <w:p>
      <w:pPr>
        <w:spacing w:line="360" w:lineRule="auto" w:after="240"/>
        <w:jc w:val="both"/>
      </w:pPr>
      <w:r>
        <w:rPr>
          <w:rFonts w:ascii="Times New Roman" w:hAnsi="Times New Roman"/>
          <w:b w:val="0"/>
          <w:i w:val="0"/>
          <w:color w:val="000000"/>
          <w:sz w:val="24"/>
        </w:rPr>
        <w:t>4.3   DATABASE DESIGN: REDIS KEY-SPACE AND SESSION-SCOPED TOKEN MAPPING MODEL</w:t>
        <w:br/>
        <w:t>Operational cache storage uses Redis key-value records. The keyspace layout is structured as follows:</w:t>
        <w:br/>
        <w:t xml:space="preserve">  1. Session Token mapping: `&lt;session_id&gt;:TOKEN:&lt;token&gt;` maps to Fernet-encrypted original text strings.</w:t>
        <w:br/>
        <w:t xml:space="preserve">  2. Session Counter: `&lt;session_id&gt;:COUNTER:&lt;entity_type&gt;` tracks the monotonic sequential integer counts.</w:t>
        <w:br/>
        <w:t xml:space="preserve">  3. Idempotency Mapping: `&lt;session_id&gt;:NAME:&lt;entity_type&gt;:&lt;sha256_hash&gt;` maps to the generated token to avoid duplicate token creations.</w:t>
        <w:br/>
        <w:t>All keys carry a 30-minute self-destruction TTL, ensuring clinical records do not persist permanently. The keyspace structure is shown in Figure 4.4.</w:t>
      </w:r>
    </w:p>
    <w:p>
      <w:pPr>
        <w:jc w:val="center"/>
      </w:pPr>
      <w:r>
        <w:drawing>
          <wp:inline xmlns:a="http://schemas.openxmlformats.org/drawingml/2006/main" xmlns:pic="http://schemas.openxmlformats.org/drawingml/2006/picture">
            <wp:extent cx="5029200" cy="2492570"/>
            <wp:docPr id="5" name="Picture 5"/>
            <wp:cNvGraphicFramePr>
              <a:graphicFrameLocks noChangeAspect="1"/>
            </wp:cNvGraphicFramePr>
            <a:graphic>
              <a:graphicData uri="http://schemas.openxmlformats.org/drawingml/2006/picture">
                <pic:pic>
                  <pic:nvPicPr>
                    <pic:cNvPr id="0" name="redis_keyspace.png"/>
                    <pic:cNvPicPr/>
                  </pic:nvPicPr>
                  <pic:blipFill>
                    <a:blip r:embed="rId17"/>
                    <a:stretch>
                      <a:fillRect/>
                    </a:stretch>
                  </pic:blipFill>
                  <pic:spPr>
                    <a:xfrm>
                      <a:off x="0" y="0"/>
                      <a:ext cx="5029200" cy="2492570"/>
                    </a:xfrm>
                    <a:prstGeom prst="rect"/>
                  </pic:spPr>
                </pic:pic>
              </a:graphicData>
            </a:graphic>
          </wp:inline>
        </w:drawing>
      </w:r>
    </w:p>
    <w:p>
      <w:pPr>
        <w:spacing w:before="120" w:after="240"/>
        <w:jc w:val="center"/>
      </w:pPr>
      <w:r>
        <w:rPr>
          <w:rFonts w:ascii="Times New Roman" w:hAnsi="Times New Roman"/>
          <w:b/>
          <w:i/>
          <w:color w:val="000000"/>
          <w:sz w:val="20"/>
        </w:rPr>
        <w:t>Fig. 4.4   Redis Key-Space Layout</w:t>
      </w:r>
    </w:p>
    <w:p>
      <w:pPr>
        <w:spacing w:line="360" w:lineRule="auto" w:after="240"/>
        <w:jc w:val="both"/>
      </w:pPr>
      <w:r>
        <w:rPr>
          <w:rFonts w:ascii="Times New Roman" w:hAnsi="Times New Roman"/>
          <w:b w:val="0"/>
          <w:i w:val="0"/>
          <w:color w:val="000000"/>
          <w:sz w:val="24"/>
        </w:rPr>
        <w:t>4.4   SECURITY ARCHITECTURE: Implemented Security Controls and Trust Boundary</w:t>
        <w:br/>
        <w:t>The trust boundary diagram defines security controls at each gate. The client interface uses simulated roles (doctor vs guest) to restrict de-redaction views, while the backend gateway enforces input validations, rate limit bounds, Regex priority filters, Fernet AES-128 encryption, and size-rotating audit logging. Backend JWT and role verification are client-side simulated. The trust boundaries are mapped in Figure 4.5.</w:t>
      </w:r>
    </w:p>
    <w:p>
      <w:pPr>
        <w:jc w:val="center"/>
      </w:pPr>
      <w:r>
        <w:drawing>
          <wp:inline xmlns:a="http://schemas.openxmlformats.org/drawingml/2006/main" xmlns:pic="http://schemas.openxmlformats.org/drawingml/2006/picture">
            <wp:extent cx="5029200" cy="1683429"/>
            <wp:docPr id="6" name="Picture 6"/>
            <wp:cNvGraphicFramePr>
              <a:graphicFrameLocks noChangeAspect="1"/>
            </wp:cNvGraphicFramePr>
            <a:graphic>
              <a:graphicData uri="http://schemas.openxmlformats.org/drawingml/2006/picture">
                <pic:pic>
                  <pic:nvPicPr>
                    <pic:cNvPr id="0" name="trust_boundary.png"/>
                    <pic:cNvPicPr/>
                  </pic:nvPicPr>
                  <pic:blipFill>
                    <a:blip r:embed="rId18"/>
                    <a:stretch>
                      <a:fillRect/>
                    </a:stretch>
                  </pic:blipFill>
                  <pic:spPr>
                    <a:xfrm>
                      <a:off x="0" y="0"/>
                      <a:ext cx="5029200" cy="1683429"/>
                    </a:xfrm>
                    <a:prstGeom prst="rect"/>
                  </pic:spPr>
                </pic:pic>
              </a:graphicData>
            </a:graphic>
          </wp:inline>
        </w:drawing>
      </w:r>
    </w:p>
    <w:p>
      <w:pPr>
        <w:spacing w:before="120" w:after="240"/>
        <w:jc w:val="center"/>
      </w:pPr>
      <w:r>
        <w:rPr>
          <w:rFonts w:ascii="Times New Roman" w:hAnsi="Times New Roman"/>
          <w:b/>
          <w:i/>
          <w:color w:val="000000"/>
          <w:sz w:val="20"/>
        </w:rPr>
        <w:t>Fig. 4.5   Trust Boundary Controls Map</w:t>
      </w:r>
    </w:p>
    <w:p>
      <w:r>
        <w:br w:type="page"/>
      </w:r>
    </w:p>
    <w:p>
      <w:pPr>
        <w:spacing w:before="240" w:after="240"/>
        <w:jc w:val="left"/>
      </w:pPr>
      <w:r>
        <w:rPr>
          <w:rFonts w:ascii="Times New Roman" w:hAnsi="Times New Roman"/>
          <w:b/>
          <w:i w:val="0"/>
          <w:color w:val="000000"/>
          <w:sz w:val="32"/>
        </w:rPr>
        <w:t>CHAPTER 5 — SYSTEM IMPLEMENTATION</w:t>
      </w:r>
    </w:p>
    <w:p>
      <w:pPr>
        <w:spacing w:line="360" w:lineRule="auto" w:after="240"/>
        <w:jc w:val="both"/>
      </w:pPr>
      <w:r>
        <w:rPr>
          <w:rFonts w:ascii="Times New Roman" w:hAnsi="Times New Roman"/>
          <w:b w:val="0"/>
          <w:i w:val="0"/>
          <w:color w:val="000000"/>
          <w:sz w:val="24"/>
        </w:rPr>
        <w:t>5.1   FRONTEND IMPLEMENTATION</w:t>
        <w:br/>
        <w:t>The single-page web dashboard is hosted by the Flask server and implemented in `frontend/js/app.js` and `frontend/js/api.js`. It uses axios/fetch APIs to post notes, manage session lists, review audit log records, and render HTML diff tables dynamically.</w:t>
      </w:r>
    </w:p>
    <w:p>
      <w:pPr>
        <w:spacing w:line="360" w:lineRule="auto" w:after="240"/>
        <w:jc w:val="both"/>
      </w:pPr>
      <w:r>
        <w:rPr>
          <w:rFonts w:ascii="Times New Roman" w:hAnsi="Times New Roman"/>
          <w:b w:val="0"/>
          <w:i w:val="0"/>
          <w:color w:val="000000"/>
          <w:sz w:val="24"/>
        </w:rPr>
        <w:t>5.2   BACKEND IMPLEMENTATION</w:t>
        <w:br/>
        <w:t>The API server is implemented in `backend/app.py` and `backend/routes/proxy.py`. Middlewares inject request IDs in headers, print diagnostic banners on startup, validate note lengths, and enforce rate limits. The project directory tree is shown in Figure 5.1.</w:t>
      </w:r>
    </w:p>
    <w:p>
      <w:pPr>
        <w:jc w:val="center"/>
      </w:pPr>
      <w:r>
        <w:drawing>
          <wp:inline xmlns:a="http://schemas.openxmlformats.org/drawingml/2006/main" xmlns:pic="http://schemas.openxmlformats.org/drawingml/2006/picture">
            <wp:extent cx="5029200" cy="3642200"/>
            <wp:docPr id="7" name="Picture 7"/>
            <wp:cNvGraphicFramePr>
              <a:graphicFrameLocks noChangeAspect="1"/>
            </wp:cNvGraphicFramePr>
            <a:graphic>
              <a:graphicData uri="http://schemas.openxmlformats.org/drawingml/2006/picture">
                <pic:pic>
                  <pic:nvPicPr>
                    <pic:cNvPr id="0" name="project_directory_tree.png"/>
                    <pic:cNvPicPr/>
                  </pic:nvPicPr>
                  <pic:blipFill>
                    <a:blip r:embed="rId19"/>
                    <a:stretch>
                      <a:fillRect/>
                    </a:stretch>
                  </pic:blipFill>
                  <pic:spPr>
                    <a:xfrm>
                      <a:off x="0" y="0"/>
                      <a:ext cx="5029200" cy="3642200"/>
                    </a:xfrm>
                    <a:prstGeom prst="rect"/>
                  </pic:spPr>
                </pic:pic>
              </a:graphicData>
            </a:graphic>
          </wp:inline>
        </w:drawing>
      </w:r>
    </w:p>
    <w:p>
      <w:pPr>
        <w:spacing w:before="120" w:after="240"/>
        <w:jc w:val="center"/>
      </w:pPr>
      <w:r>
        <w:rPr>
          <w:rFonts w:ascii="Times New Roman" w:hAnsi="Times New Roman"/>
          <w:b/>
          <w:i/>
          <w:color w:val="000000"/>
          <w:sz w:val="20"/>
        </w:rPr>
        <w:t>Fig. 5.1   Project Directory Tree</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Route Endpoint</w:t>
            </w:r>
          </w:p>
        </w:tc>
        <w:tc>
          <w:tcPr>
            <w:tcW w:type="dxa" w:w="3000"/>
            <w:tcMar>
              <w:top w:w="100" w:type="dxa"/>
              <w:bottom w:w="100" w:type="dxa"/>
              <w:left w:w="150" w:type="dxa"/>
              <w:right w:w="150" w:type="dxa"/>
            </w:tcMar>
          </w:tcPr>
          <w:p>
            <w:r>
              <w:rPr>
                <w:rFonts w:ascii="Times New Roman" w:hAnsi="Times New Roman"/>
                <w:b/>
                <w:i w:val="0"/>
                <w:color w:val="000000"/>
                <w:sz w:val="21"/>
              </w:rPr>
              <w:t>HTTP Method</w:t>
            </w:r>
          </w:p>
        </w:tc>
        <w:tc>
          <w:tcPr>
            <w:tcW w:type="dxa" w:w="3000"/>
            <w:tcMar>
              <w:top w:w="100" w:type="dxa"/>
              <w:bottom w:w="100" w:type="dxa"/>
              <w:left w:w="150" w:type="dxa"/>
              <w:right w:w="150" w:type="dxa"/>
            </w:tcMar>
          </w:tcPr>
          <w:p>
            <w:r>
              <w:rPr>
                <w:rFonts w:ascii="Times New Roman" w:hAnsi="Times New Roman"/>
                <w:b/>
                <w:i w:val="0"/>
                <w:color w:val="000000"/>
                <w:sz w:val="21"/>
              </w:rPr>
              <w:t>Gateway Operational Behavior</w:t>
            </w:r>
          </w:p>
        </w:tc>
      </w:tr>
      <w:tr>
        <w:tc>
          <w:tcPr>
            <w:tcW w:type="dxa" w:w="3000"/>
            <w:tcMar>
              <w:top w:w="100" w:type="dxa"/>
              <w:bottom w:w="100" w:type="dxa"/>
              <w:left w:w="150" w:type="dxa"/>
              <w:right w:w="150" w:type="dxa"/>
            </w:tcMar>
          </w:tcPr>
          <w:p>
            <w:r>
              <w:rPr>
                <w:rFonts w:ascii="Times New Roman" w:hAnsi="Times New Roman"/>
                <w:b w:val="0"/>
                <w:i w:val="0"/>
                <w:color w:val="000000"/>
                <w:sz w:val="20"/>
              </w:rPr>
              <w:t>/api/redact</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Performs hybrid redaction &amp; caches session keys</w:t>
            </w:r>
          </w:p>
        </w:tc>
      </w:tr>
      <w:tr>
        <w:tc>
          <w:tcPr>
            <w:tcW w:type="dxa" w:w="3000"/>
            <w:tcMar>
              <w:top w:w="100" w:type="dxa"/>
              <w:bottom w:w="100" w:type="dxa"/>
              <w:left w:w="150" w:type="dxa"/>
              <w:right w:w="150" w:type="dxa"/>
            </w:tcMar>
          </w:tcPr>
          <w:p>
            <w:r>
              <w:rPr>
                <w:rFonts w:ascii="Times New Roman" w:hAnsi="Times New Roman"/>
                <w:b w:val="0"/>
                <w:i w:val="0"/>
                <w:color w:val="000000"/>
                <w:sz w:val="20"/>
              </w:rPr>
              <w:t>/api/ask</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Dispatches de-identified text to external AI / Fallback</w:t>
            </w:r>
          </w:p>
        </w:tc>
      </w:tr>
      <w:tr>
        <w:tc>
          <w:tcPr>
            <w:tcW w:type="dxa" w:w="3000"/>
            <w:tcMar>
              <w:top w:w="100" w:type="dxa"/>
              <w:bottom w:w="100" w:type="dxa"/>
              <w:left w:w="150" w:type="dxa"/>
              <w:right w:w="150" w:type="dxa"/>
            </w:tcMar>
          </w:tcPr>
          <w:p>
            <w:r>
              <w:rPr>
                <w:rFonts w:ascii="Times New Roman" w:hAnsi="Times New Roman"/>
                <w:b w:val="0"/>
                <w:i w:val="0"/>
                <w:color w:val="000000"/>
                <w:sz w:val="20"/>
              </w:rPr>
              <w:t>/api/restore</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Restores original identifiers into LLM outputs</w:t>
            </w:r>
          </w:p>
        </w:tc>
      </w:tr>
      <w:tr>
        <w:tc>
          <w:tcPr>
            <w:tcW w:type="dxa" w:w="3000"/>
            <w:tcMar>
              <w:top w:w="100" w:type="dxa"/>
              <w:bottom w:w="100" w:type="dxa"/>
              <w:left w:w="150" w:type="dxa"/>
              <w:right w:w="150" w:type="dxa"/>
            </w:tcMar>
          </w:tcPr>
          <w:p>
            <w:r>
              <w:rPr>
                <w:rFonts w:ascii="Times New Roman" w:hAnsi="Times New Roman"/>
                <w:b w:val="0"/>
                <w:i w:val="0"/>
                <w:color w:val="000000"/>
                <w:sz w:val="20"/>
              </w:rPr>
              <w:t>/api/validate</w:t>
            </w:r>
          </w:p>
        </w:tc>
        <w:tc>
          <w:tcPr>
            <w:tcW w:type="dxa" w:w="3000"/>
            <w:tcMar>
              <w:top w:w="100" w:type="dxa"/>
              <w:bottom w:w="100" w:type="dxa"/>
              <w:left w:w="150" w:type="dxa"/>
              <w:right w:w="150" w:type="dxa"/>
            </w:tcMar>
          </w:tcPr>
          <w:p>
            <w:r>
              <w:rPr>
                <w:rFonts w:ascii="Times New Roman" w:hAnsi="Times New Roman"/>
                <w:b w:val="0"/>
                <w:i w:val="0"/>
                <w:color w:val="000000"/>
                <w:sz w:val="20"/>
              </w:rPr>
              <w:t>POST</w:t>
            </w:r>
          </w:p>
        </w:tc>
        <w:tc>
          <w:tcPr>
            <w:tcW w:type="dxa" w:w="3000"/>
            <w:tcMar>
              <w:top w:w="100" w:type="dxa"/>
              <w:bottom w:w="100" w:type="dxa"/>
              <w:left w:w="150" w:type="dxa"/>
              <w:right w:w="150" w:type="dxa"/>
            </w:tcMar>
          </w:tcPr>
          <w:p>
            <w:r>
              <w:rPr>
                <w:rFonts w:ascii="Times New Roman" w:hAnsi="Times New Roman"/>
                <w:b w:val="0"/>
                <w:i w:val="0"/>
                <w:color w:val="000000"/>
                <w:sz w:val="20"/>
              </w:rPr>
              <w:t>Runs live stateless pre-check risk analysis</w:t>
            </w:r>
          </w:p>
        </w:tc>
      </w:tr>
      <w:tr>
        <w:tc>
          <w:tcPr>
            <w:tcW w:type="dxa" w:w="3000"/>
            <w:tcMar>
              <w:top w:w="100" w:type="dxa"/>
              <w:bottom w:w="100" w:type="dxa"/>
              <w:left w:w="150" w:type="dxa"/>
              <w:right w:w="150" w:type="dxa"/>
            </w:tcMar>
          </w:tcPr>
          <w:p>
            <w:r>
              <w:rPr>
                <w:rFonts w:ascii="Times New Roman" w:hAnsi="Times New Roman"/>
                <w:b w:val="0"/>
                <w:i w:val="0"/>
                <w:color w:val="000000"/>
                <w:sz w:val="20"/>
              </w:rPr>
              <w:t>/health</w:t>
            </w:r>
          </w:p>
        </w:tc>
        <w:tc>
          <w:tcPr>
            <w:tcW w:type="dxa" w:w="3000"/>
            <w:tcMar>
              <w:top w:w="100" w:type="dxa"/>
              <w:bottom w:w="100" w:type="dxa"/>
              <w:left w:w="150" w:type="dxa"/>
              <w:right w:w="150" w:type="dxa"/>
            </w:tcMar>
          </w:tcPr>
          <w:p>
            <w:r>
              <w:rPr>
                <w:rFonts w:ascii="Times New Roman" w:hAnsi="Times New Roman"/>
                <w:b w:val="0"/>
                <w:i w:val="0"/>
                <w:color w:val="000000"/>
                <w:sz w:val="20"/>
              </w:rPr>
              <w:t>GET</w:t>
            </w:r>
          </w:p>
        </w:tc>
        <w:tc>
          <w:tcPr>
            <w:tcW w:type="dxa" w:w="3000"/>
            <w:tcMar>
              <w:top w:w="100" w:type="dxa"/>
              <w:bottom w:w="100" w:type="dxa"/>
              <w:left w:w="150" w:type="dxa"/>
              <w:right w:w="150" w:type="dxa"/>
            </w:tcMar>
          </w:tcPr>
          <w:p>
            <w:r>
              <w:rPr>
                <w:rFonts w:ascii="Times New Roman" w:hAnsi="Times New Roman"/>
                <w:b w:val="0"/>
                <w:i w:val="0"/>
                <w:color w:val="000000"/>
                <w:sz w:val="20"/>
              </w:rPr>
              <w:t>Checks core Redis, NLP model download, logger status</w:t>
            </w:r>
          </w:p>
        </w:tc>
      </w:tr>
    </w:tbl>
    <w:p>
      <w:pPr>
        <w:jc w:val="center"/>
      </w:pPr>
      <w:r>
        <w:rPr>
          <w:rFonts w:ascii="Times New Roman" w:hAnsi="Times New Roman"/>
          <w:b/>
          <w:i/>
          <w:color w:val="000000"/>
          <w:sz w:val="20"/>
        </w:rPr>
        <w:t>Table 5.1   Flask Gateway Routes</w:t>
      </w:r>
    </w:p>
    <w:p>
      <w:pPr>
        <w:spacing w:line="360" w:lineRule="auto" w:after="240"/>
        <w:jc w:val="both"/>
      </w:pPr>
      <w:r>
        <w:rPr>
          <w:rFonts w:ascii="Times New Roman" w:hAnsi="Times New Roman"/>
          <w:b w:val="0"/>
          <w:i w:val="0"/>
          <w:color w:val="000000"/>
          <w:sz w:val="24"/>
        </w:rPr>
        <w:t>5.3   VAULT &amp; TOKEN STORAGE IMPLEMENTATION</w:t>
        <w:br/>
        <w:t>Bidirectional token mapping is handled by `vault/token_store.py` and `vault/token_generator.py`. Sequence tokens (e.g., `PERSON_001`) are generated using Redis atomic `INCR` commands. The original text values are encrypted using Fernet (AES-128-CBC) before being stored.</w:t>
      </w:r>
    </w:p>
    <w:p>
      <w:pPr>
        <w:spacing w:line="360" w:lineRule="auto" w:after="240"/>
        <w:jc w:val="both"/>
      </w:pPr>
      <w:r>
        <w:rPr>
          <w:rFonts w:ascii="Times New Roman" w:hAnsi="Times New Roman"/>
          <w:b w:val="0"/>
          <w:i w:val="0"/>
          <w:color w:val="000000"/>
          <w:sz w:val="24"/>
        </w:rPr>
        <w:t>5.4   MACHINE LEARNING &amp; EPONYMS IMPLEMENTATION</w:t>
        <w:br/>
        <w:t>The NLP engine wrapper in `nlp/presidio_scanner.py` loads spaCy's `en_core_web_sm` model to flag PERSON names and LOC locations. To protect vital clinical diagnostic terms from being incorrectly redacted, the system matches and preserves eponyms like "Parkinson's disease" or "Alzheimer's disease" using a custom exclusion list checker. The Presidio NLP config is detailed in Table 5.2.</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Entity Type</w:t>
            </w:r>
          </w:p>
        </w:tc>
        <w:tc>
          <w:tcPr>
            <w:tcW w:type="dxa" w:w="3000"/>
            <w:tcMar>
              <w:top w:w="100" w:type="dxa"/>
              <w:bottom w:w="100" w:type="dxa"/>
              <w:left w:w="150" w:type="dxa"/>
              <w:right w:w="150" w:type="dxa"/>
            </w:tcMar>
          </w:tcPr>
          <w:p>
            <w:r>
              <w:rPr>
                <w:rFonts w:ascii="Times New Roman" w:hAnsi="Times New Roman"/>
                <w:b/>
                <w:i w:val="0"/>
                <w:color w:val="000000"/>
                <w:sz w:val="21"/>
              </w:rPr>
              <w:t>Extraction Engine</w:t>
            </w:r>
          </w:p>
        </w:tc>
        <w:tc>
          <w:tcPr>
            <w:tcW w:type="dxa" w:w="3000"/>
            <w:tcMar>
              <w:top w:w="100" w:type="dxa"/>
              <w:bottom w:w="100" w:type="dxa"/>
              <w:left w:w="150" w:type="dxa"/>
              <w:right w:w="150" w:type="dxa"/>
            </w:tcMar>
          </w:tcPr>
          <w:p>
            <w:r>
              <w:rPr>
                <w:rFonts w:ascii="Times New Roman" w:hAnsi="Times New Roman"/>
                <w:b/>
                <w:i w:val="0"/>
                <w:color w:val="000000"/>
                <w:sz w:val="21"/>
              </w:rPr>
              <w:t>Exclusion Preservation Rules</w:t>
            </w:r>
          </w:p>
        </w:tc>
      </w:tr>
      <w:tr>
        <w:tc>
          <w:tcPr>
            <w:tcW w:type="dxa" w:w="3000"/>
            <w:tcMar>
              <w:top w:w="100" w:type="dxa"/>
              <w:bottom w:w="100" w:type="dxa"/>
              <w:left w:w="150" w:type="dxa"/>
              <w:right w:w="150" w:type="dxa"/>
            </w:tcMar>
          </w:tcPr>
          <w:p>
            <w:r>
              <w:rPr>
                <w:rFonts w:ascii="Times New Roman" w:hAnsi="Times New Roman"/>
                <w:b w:val="0"/>
                <w:i w:val="0"/>
                <w:color w:val="000000"/>
                <w:sz w:val="20"/>
              </w:rPr>
              <w:t>PERSON</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 NER</w:t>
            </w:r>
          </w:p>
        </w:tc>
        <w:tc>
          <w:tcPr>
            <w:tcW w:type="dxa" w:w="3000"/>
            <w:tcMar>
              <w:top w:w="100" w:type="dxa"/>
              <w:bottom w:w="100" w:type="dxa"/>
              <w:left w:w="150" w:type="dxa"/>
              <w:right w:w="150" w:type="dxa"/>
            </w:tcMar>
          </w:tcPr>
          <w:p>
            <w:r>
              <w:rPr>
                <w:rFonts w:ascii="Times New Roman" w:hAnsi="Times New Roman"/>
                <w:b w:val="0"/>
                <w:i w:val="0"/>
                <w:color w:val="000000"/>
                <w:sz w:val="20"/>
              </w:rPr>
              <w:t>Preserves eponyms (e.g. Alzheimer's disease)</w:t>
            </w:r>
          </w:p>
        </w:tc>
      </w:tr>
      <w:tr>
        <w:tc>
          <w:tcPr>
            <w:tcW w:type="dxa" w:w="3000"/>
            <w:tcMar>
              <w:top w:w="100" w:type="dxa"/>
              <w:bottom w:w="100" w:type="dxa"/>
              <w:left w:w="150" w:type="dxa"/>
              <w:right w:w="150" w:type="dxa"/>
            </w:tcMar>
          </w:tcPr>
          <w:p>
            <w:r>
              <w:rPr>
                <w:rFonts w:ascii="Times New Roman" w:hAnsi="Times New Roman"/>
                <w:b w:val="0"/>
                <w:i w:val="0"/>
                <w:color w:val="000000"/>
                <w:sz w:val="20"/>
              </w:rPr>
              <w:t>LOCATION</w:t>
            </w:r>
          </w:p>
        </w:tc>
        <w:tc>
          <w:tcPr>
            <w:tcW w:type="dxa" w:w="3000"/>
            <w:tcMar>
              <w:top w:w="100" w:type="dxa"/>
              <w:bottom w:w="100" w:type="dxa"/>
              <w:left w:w="150" w:type="dxa"/>
              <w:right w:w="150" w:type="dxa"/>
            </w:tcMar>
          </w:tcPr>
          <w:p>
            <w:r>
              <w:rPr>
                <w:rFonts w:ascii="Times New Roman" w:hAnsi="Times New Roman"/>
                <w:b w:val="0"/>
                <w:i w:val="0"/>
                <w:color w:val="000000"/>
                <w:sz w:val="20"/>
              </w:rPr>
              <w:t>Microsoft Presidio / spaCy NER</w:t>
            </w:r>
          </w:p>
        </w:tc>
        <w:tc>
          <w:tcPr>
            <w:tcW w:type="dxa" w:w="3000"/>
            <w:tcMar>
              <w:top w:w="100" w:type="dxa"/>
              <w:bottom w:w="100" w:type="dxa"/>
              <w:left w:w="150" w:type="dxa"/>
              <w:right w:w="150" w:type="dxa"/>
            </w:tcMar>
          </w:tcPr>
          <w:p>
            <w:r>
              <w:rPr>
                <w:rFonts w:ascii="Times New Roman" w:hAnsi="Times New Roman"/>
                <w:b w:val="0"/>
                <w:i w:val="0"/>
                <w:color w:val="000000"/>
                <w:sz w:val="20"/>
              </w:rPr>
              <w:t>Identifies unstructured city/state terms</w:t>
            </w:r>
          </w:p>
        </w:tc>
      </w:tr>
      <w:tr>
        <w:tc>
          <w:tcPr>
            <w:tcW w:type="dxa" w:w="3000"/>
            <w:tcMar>
              <w:top w:w="100" w:type="dxa"/>
              <w:bottom w:w="100" w:type="dxa"/>
              <w:left w:w="150" w:type="dxa"/>
              <w:right w:w="150" w:type="dxa"/>
            </w:tcMar>
          </w:tcPr>
          <w:p>
            <w:r>
              <w:rPr>
                <w:rFonts w:ascii="Times New Roman" w:hAnsi="Times New Roman"/>
                <w:b w:val="0"/>
                <w:i w:val="0"/>
                <w:color w:val="000000"/>
                <w:sz w:val="20"/>
              </w:rPr>
              <w:t>DATES</w:t>
            </w:r>
          </w:p>
        </w:tc>
        <w:tc>
          <w:tcPr>
            <w:tcW w:type="dxa" w:w="3000"/>
            <w:tcMar>
              <w:top w:w="100" w:type="dxa"/>
              <w:bottom w:w="100" w:type="dxa"/>
              <w:left w:w="150" w:type="dxa"/>
              <w:right w:w="150" w:type="dxa"/>
            </w:tcMar>
          </w:tcPr>
          <w:p>
            <w:r>
              <w:rPr>
                <w:rFonts w:ascii="Times New Roman" w:hAnsi="Times New Roman"/>
                <w:b w:val="0"/>
                <w:i w:val="0"/>
                <w:color w:val="000000"/>
                <w:sz w:val="20"/>
              </w:rPr>
              <w:t>Regex Engine patterns</w:t>
            </w:r>
          </w:p>
        </w:tc>
        <w:tc>
          <w:tcPr>
            <w:tcW w:type="dxa" w:w="3000"/>
            <w:tcMar>
              <w:top w:w="100" w:type="dxa"/>
              <w:bottom w:w="100" w:type="dxa"/>
              <w:left w:w="150" w:type="dxa"/>
              <w:right w:w="150" w:type="dxa"/>
            </w:tcMar>
          </w:tcPr>
          <w:p>
            <w:r>
              <w:rPr>
                <w:rFonts w:ascii="Times New Roman" w:hAnsi="Times New Roman"/>
                <w:b w:val="0"/>
                <w:i w:val="0"/>
                <w:color w:val="000000"/>
                <w:sz w:val="20"/>
              </w:rPr>
              <w:t>Excludes clinical numbers and dosages</w:t>
            </w:r>
          </w:p>
        </w:tc>
      </w:tr>
    </w:tbl>
    <w:p>
      <w:pPr>
        <w:jc w:val="center"/>
      </w:pPr>
      <w:r>
        <w:rPr>
          <w:rFonts w:ascii="Times New Roman" w:hAnsi="Times New Roman"/>
          <w:b/>
          <w:i/>
          <w:color w:val="000000"/>
          <w:sz w:val="20"/>
        </w:rPr>
        <w:t>Table 5.2   Presidio Entity Configs</w:t>
      </w:r>
    </w:p>
    <w:p>
      <w:pPr>
        <w:spacing w:line="360" w:lineRule="auto" w:after="240"/>
        <w:jc w:val="both"/>
      </w:pPr>
      <w:r>
        <w:rPr>
          <w:rFonts w:ascii="Times New Roman" w:hAnsi="Times New Roman"/>
          <w:b w:val="0"/>
          <w:i w:val="0"/>
          <w:color w:val="000000"/>
          <w:sz w:val="24"/>
        </w:rPr>
        <w:t>5.5   IMPLEMENTATION CHALLENGES &amp; SOLUTIONS</w:t>
        <w:br/>
        <w:t>During testing, a NameError occurred in `logger.py` due to a missing `pathlib.Path` import, which was successfully corrected. To mitigate Render's cold-start delay, the frontend dashboard uses periodic check-in polling to verify backend engine health. The Presidio NER flow is shown in Figure 5.2.</w:t>
      </w:r>
    </w:p>
    <w:p>
      <w:pPr>
        <w:jc w:val="center"/>
      </w:pPr>
      <w:r>
        <w:drawing>
          <wp:inline xmlns:a="http://schemas.openxmlformats.org/drawingml/2006/main" xmlns:pic="http://schemas.openxmlformats.org/drawingml/2006/picture">
            <wp:extent cx="5029200" cy="283760"/>
            <wp:docPr id="8" name="Picture 8"/>
            <wp:cNvGraphicFramePr>
              <a:graphicFrameLocks noChangeAspect="1"/>
            </wp:cNvGraphicFramePr>
            <a:graphic>
              <a:graphicData uri="http://schemas.openxmlformats.org/drawingml/2006/picture">
                <pic:pic>
                  <pic:nvPicPr>
                    <pic:cNvPr id="0" name="nlp_processing.png"/>
                    <pic:cNvPicPr/>
                  </pic:nvPicPr>
                  <pic:blipFill>
                    <a:blip r:embed="rId20"/>
                    <a:stretch>
                      <a:fillRect/>
                    </a:stretch>
                  </pic:blipFill>
                  <pic:spPr>
                    <a:xfrm>
                      <a:off x="0" y="0"/>
                      <a:ext cx="5029200" cy="283760"/>
                    </a:xfrm>
                    <a:prstGeom prst="rect"/>
                  </pic:spPr>
                </pic:pic>
              </a:graphicData>
            </a:graphic>
          </wp:inline>
        </w:drawing>
      </w:r>
    </w:p>
    <w:p>
      <w:pPr>
        <w:spacing w:before="120" w:after="240"/>
        <w:jc w:val="center"/>
      </w:pPr>
      <w:r>
        <w:rPr>
          <w:rFonts w:ascii="Times New Roman" w:hAnsi="Times New Roman"/>
          <w:b/>
          <w:i/>
          <w:color w:val="000000"/>
          <w:sz w:val="20"/>
        </w:rPr>
        <w:t>Fig. 5.2   Presidio + spaCy NLP Processing Flow</w:t>
      </w:r>
    </w:p>
    <w:p>
      <w:r>
        <w:br w:type="page"/>
      </w:r>
    </w:p>
    <w:p>
      <w:pPr>
        <w:spacing w:before="240" w:after="240"/>
        <w:jc w:val="left"/>
      </w:pPr>
      <w:r>
        <w:rPr>
          <w:rFonts w:ascii="Times New Roman" w:hAnsi="Times New Roman"/>
          <w:b/>
          <w:i w:val="0"/>
          <w:color w:val="000000"/>
          <w:sz w:val="32"/>
        </w:rPr>
        <w:t>CHAPTER 6 — WORKFLOW AND MAJOR FUNCTIONALITY</w:t>
      </w:r>
    </w:p>
    <w:p>
      <w:pPr>
        <w:spacing w:line="360" w:lineRule="auto" w:after="240"/>
        <w:jc w:val="both"/>
      </w:pPr>
      <w:r>
        <w:rPr>
          <w:rFonts w:ascii="Times New Roman" w:hAnsi="Times New Roman"/>
          <w:b w:val="0"/>
          <w:i w:val="0"/>
          <w:color w:val="000000"/>
          <w:sz w:val="24"/>
        </w:rPr>
        <w:t>6.1   MAIN REQUEST LIFECYCLE</w:t>
        <w:br/>
        <w:t>The request lifecycle traces the processing flow: a clinician inputs a note, the validate endpoint checks the risk level, the parallel Regex and NLP engines tag entities, the overlap resolver merges boundaries, the vault encrypts and tokenizes the note, the dynamic summarizer produces a clinical plan, and the vault restores original details in the returned response.</w:t>
      </w:r>
    </w:p>
    <w:p>
      <w:pPr>
        <w:spacing w:line="360" w:lineRule="auto" w:after="240"/>
        <w:jc w:val="both"/>
      </w:pPr>
      <w:r>
        <w:rPr>
          <w:rFonts w:ascii="Times New Roman" w:hAnsi="Times New Roman"/>
          <w:b w:val="0"/>
          <w:i w:val="0"/>
          <w:color w:val="000000"/>
          <w:sz w:val="24"/>
        </w:rPr>
        <w:t>6.2   REGEX SCANNING &amp; OVERLAP RESOLUTION</w:t>
        <w:br/>
        <w:t>The rules engine uses a greedy overlap resolver with a priority matrix. Higher priority types (like URLs or Emails) claim text positions first, and overlapping lower-priority matches are safely ignored. Overlap priority rankings are detailed in Table 6.1, and the resolver flowchart is shown in Figure 6.1.</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Entity Regex Type</w:t>
            </w:r>
          </w:p>
        </w:tc>
        <w:tc>
          <w:tcPr>
            <w:tcW w:type="dxa" w:w="3000"/>
            <w:tcMar>
              <w:top w:w="100" w:type="dxa"/>
              <w:bottom w:w="100" w:type="dxa"/>
              <w:left w:w="150" w:type="dxa"/>
              <w:right w:w="150" w:type="dxa"/>
            </w:tcMar>
          </w:tcPr>
          <w:p>
            <w:r>
              <w:rPr>
                <w:rFonts w:ascii="Times New Roman" w:hAnsi="Times New Roman"/>
                <w:b/>
                <w:i w:val="0"/>
                <w:color w:val="000000"/>
                <w:sz w:val="21"/>
              </w:rPr>
              <w:t>Priority Level</w:t>
            </w:r>
          </w:p>
        </w:tc>
        <w:tc>
          <w:tcPr>
            <w:tcW w:type="dxa" w:w="3000"/>
            <w:tcMar>
              <w:top w:w="100" w:type="dxa"/>
              <w:bottom w:w="100" w:type="dxa"/>
              <w:left w:w="150" w:type="dxa"/>
              <w:right w:w="150" w:type="dxa"/>
            </w:tcMar>
          </w:tcPr>
          <w:p>
            <w:r>
              <w:rPr>
                <w:rFonts w:ascii="Times New Roman" w:hAnsi="Times New Roman"/>
                <w:b/>
                <w:i w:val="0"/>
                <w:color w:val="000000"/>
                <w:sz w:val="21"/>
              </w:rPr>
              <w:t>Resolution Action Rule</w:t>
            </w:r>
          </w:p>
        </w:tc>
      </w:tr>
      <w:tr>
        <w:tc>
          <w:tcPr>
            <w:tcW w:type="dxa" w:w="3000"/>
            <w:tcMar>
              <w:top w:w="100" w:type="dxa"/>
              <w:bottom w:w="100" w:type="dxa"/>
              <w:left w:w="150" w:type="dxa"/>
              <w:right w:w="150" w:type="dxa"/>
            </w:tcMar>
          </w:tcPr>
          <w:p>
            <w:r>
              <w:rPr>
                <w:rFonts w:ascii="Times New Roman" w:hAnsi="Times New Roman"/>
                <w:b w:val="0"/>
                <w:i w:val="0"/>
                <w:color w:val="000000"/>
                <w:sz w:val="20"/>
              </w:rPr>
              <w:t>URL</w:t>
            </w:r>
          </w:p>
        </w:tc>
        <w:tc>
          <w:tcPr>
            <w:tcW w:type="dxa" w:w="3000"/>
            <w:tcMar>
              <w:top w:w="100" w:type="dxa"/>
              <w:bottom w:w="100" w:type="dxa"/>
              <w:left w:w="150" w:type="dxa"/>
              <w:right w:w="150" w:type="dxa"/>
            </w:tcMar>
          </w:tcPr>
          <w:p>
            <w:r>
              <w:rPr>
                <w:rFonts w:ascii="Times New Roman" w:hAnsi="Times New Roman"/>
                <w:b w:val="0"/>
                <w:i w:val="0"/>
                <w:color w:val="000000"/>
                <w:sz w:val="20"/>
              </w:rPr>
              <w:t>100 (Highest)</w:t>
            </w:r>
          </w:p>
        </w:tc>
        <w:tc>
          <w:tcPr>
            <w:tcW w:type="dxa" w:w="3000"/>
            <w:tcMar>
              <w:top w:w="100" w:type="dxa"/>
              <w:bottom w:w="100" w:type="dxa"/>
              <w:left w:w="150" w:type="dxa"/>
              <w:right w:w="150" w:type="dxa"/>
            </w:tcMar>
          </w:tcPr>
          <w:p>
            <w:r>
              <w:rPr>
                <w:rFonts w:ascii="Times New Roman" w:hAnsi="Times New Roman"/>
                <w:b w:val="0"/>
                <w:i w:val="0"/>
                <w:color w:val="000000"/>
                <w:sz w:val="20"/>
              </w:rPr>
              <w:t>Claims boundaries first, overwriting overlapping IPs</w:t>
            </w:r>
          </w:p>
        </w:tc>
      </w:tr>
      <w:tr>
        <w:tc>
          <w:tcPr>
            <w:tcW w:type="dxa" w:w="3000"/>
            <w:tcMar>
              <w:top w:w="100" w:type="dxa"/>
              <w:bottom w:w="100" w:type="dxa"/>
              <w:left w:w="150" w:type="dxa"/>
              <w:right w:w="150" w:type="dxa"/>
            </w:tcMar>
          </w:tcPr>
          <w:p>
            <w:r>
              <w:rPr>
                <w:rFonts w:ascii="Times New Roman" w:hAnsi="Times New Roman"/>
                <w:b w:val="0"/>
                <w:i w:val="0"/>
                <w:color w:val="000000"/>
                <w:sz w:val="20"/>
              </w:rPr>
              <w:t>EMAIL</w:t>
            </w:r>
          </w:p>
        </w:tc>
        <w:tc>
          <w:tcPr>
            <w:tcW w:type="dxa" w:w="3000"/>
            <w:tcMar>
              <w:top w:w="100" w:type="dxa"/>
              <w:bottom w:w="100" w:type="dxa"/>
              <w:left w:w="150" w:type="dxa"/>
              <w:right w:w="150" w:type="dxa"/>
            </w:tcMar>
          </w:tcPr>
          <w:p>
            <w:r>
              <w:rPr>
                <w:rFonts w:ascii="Times New Roman" w:hAnsi="Times New Roman"/>
                <w:b w:val="0"/>
                <w:i w:val="0"/>
                <w:color w:val="000000"/>
                <w:sz w:val="20"/>
              </w:rPr>
              <w:t>90</w:t>
            </w:r>
          </w:p>
        </w:tc>
        <w:tc>
          <w:tcPr>
            <w:tcW w:type="dxa" w:w="3000"/>
            <w:tcMar>
              <w:top w:w="100" w:type="dxa"/>
              <w:bottom w:w="100" w:type="dxa"/>
              <w:left w:w="150" w:type="dxa"/>
              <w:right w:w="150" w:type="dxa"/>
            </w:tcMar>
          </w:tcPr>
          <w:p>
            <w:r>
              <w:rPr>
                <w:rFonts w:ascii="Times New Roman" w:hAnsi="Times New Roman"/>
                <w:b w:val="0"/>
                <w:i w:val="0"/>
                <w:color w:val="000000"/>
                <w:sz w:val="20"/>
              </w:rPr>
              <w:t>Preempts standard phone numbers or names</w:t>
            </w:r>
          </w:p>
        </w:tc>
      </w:tr>
      <w:tr>
        <w:tc>
          <w:tcPr>
            <w:tcW w:type="dxa" w:w="3000"/>
            <w:tcMar>
              <w:top w:w="100" w:type="dxa"/>
              <w:bottom w:w="100" w:type="dxa"/>
              <w:left w:w="150" w:type="dxa"/>
              <w:right w:w="150" w:type="dxa"/>
            </w:tcMar>
          </w:tcPr>
          <w:p>
            <w:r>
              <w:rPr>
                <w:rFonts w:ascii="Times New Roman" w:hAnsi="Times New Roman"/>
                <w:b w:val="0"/>
                <w:i w:val="0"/>
                <w:color w:val="000000"/>
                <w:sz w:val="20"/>
              </w:rPr>
              <w:t>AADHAAR / SSN</w:t>
            </w:r>
          </w:p>
        </w:tc>
        <w:tc>
          <w:tcPr>
            <w:tcW w:type="dxa" w:w="3000"/>
            <w:tcMar>
              <w:top w:w="100" w:type="dxa"/>
              <w:bottom w:w="100" w:type="dxa"/>
              <w:left w:w="150" w:type="dxa"/>
              <w:right w:w="150" w:type="dxa"/>
            </w:tcMar>
          </w:tcPr>
          <w:p>
            <w:r>
              <w:rPr>
                <w:rFonts w:ascii="Times New Roman" w:hAnsi="Times New Roman"/>
                <w:b w:val="0"/>
                <w:i w:val="0"/>
                <w:color w:val="000000"/>
                <w:sz w:val="20"/>
              </w:rPr>
              <w:t>70</w:t>
            </w:r>
          </w:p>
        </w:tc>
        <w:tc>
          <w:tcPr>
            <w:tcW w:type="dxa" w:w="3000"/>
            <w:tcMar>
              <w:top w:w="100" w:type="dxa"/>
              <w:bottom w:w="100" w:type="dxa"/>
              <w:left w:w="150" w:type="dxa"/>
              <w:right w:w="150" w:type="dxa"/>
            </w:tcMar>
          </w:tcPr>
          <w:p>
            <w:r>
              <w:rPr>
                <w:rFonts w:ascii="Times New Roman" w:hAnsi="Times New Roman"/>
                <w:b w:val="0"/>
                <w:i w:val="0"/>
                <w:color w:val="000000"/>
                <w:sz w:val="20"/>
              </w:rPr>
              <w:t>Takes priority over nested zip/pin code digits</w:t>
            </w:r>
          </w:p>
        </w:tc>
      </w:tr>
    </w:tbl>
    <w:p>
      <w:pPr>
        <w:jc w:val="center"/>
      </w:pPr>
      <w:r>
        <w:rPr>
          <w:rFonts w:ascii="Times New Roman" w:hAnsi="Times New Roman"/>
          <w:b/>
          <w:i/>
          <w:color w:val="000000"/>
          <w:sz w:val="20"/>
        </w:rPr>
        <w:t>Table 6.1   Regex priority overlap rankings</w:t>
      </w:r>
    </w:p>
    <w:p>
      <w:pPr>
        <w:jc w:val="center"/>
      </w:pPr>
      <w:r>
        <w:drawing>
          <wp:inline xmlns:a="http://schemas.openxmlformats.org/drawingml/2006/main" xmlns:pic="http://schemas.openxmlformats.org/drawingml/2006/picture">
            <wp:extent cx="5029200" cy="5229896"/>
            <wp:docPr id="9" name="Picture 9"/>
            <wp:cNvGraphicFramePr>
              <a:graphicFrameLocks noChangeAspect="1"/>
            </wp:cNvGraphicFramePr>
            <a:graphic>
              <a:graphicData uri="http://schemas.openxmlformats.org/drawingml/2006/picture">
                <pic:pic>
                  <pic:nvPicPr>
                    <pic:cNvPr id="0" name="overlap_resolution.png"/>
                    <pic:cNvPicPr/>
                  </pic:nvPicPr>
                  <pic:blipFill>
                    <a:blip r:embed="rId21"/>
                    <a:stretch>
                      <a:fillRect/>
                    </a:stretch>
                  </pic:blipFill>
                  <pic:spPr>
                    <a:xfrm>
                      <a:off x="0" y="0"/>
                      <a:ext cx="5029200" cy="5229896"/>
                    </a:xfrm>
                    <a:prstGeom prst="rect"/>
                  </pic:spPr>
                </pic:pic>
              </a:graphicData>
            </a:graphic>
          </wp:inline>
        </w:drawing>
      </w:r>
    </w:p>
    <w:p>
      <w:pPr>
        <w:spacing w:before="120" w:after="240"/>
        <w:jc w:val="center"/>
      </w:pPr>
      <w:r>
        <w:rPr>
          <w:rFonts w:ascii="Times New Roman" w:hAnsi="Times New Roman"/>
          <w:b/>
          <w:i/>
          <w:color w:val="000000"/>
          <w:sz w:val="20"/>
        </w:rPr>
        <w:t>Fig. 6.1   Regex Detection and Overlap Resolution Flow</w:t>
      </w:r>
    </w:p>
    <w:p>
      <w:pPr>
        <w:spacing w:line="360" w:lineRule="auto" w:after="240"/>
        <w:jc w:val="both"/>
      </w:pPr>
      <w:r>
        <w:rPr>
          <w:rFonts w:ascii="Times New Roman" w:hAnsi="Times New Roman"/>
          <w:b w:val="0"/>
          <w:i w:val="0"/>
          <w:color w:val="000000"/>
          <w:sz w:val="24"/>
        </w:rPr>
        <w:t>6.3   TOKEN GENERATION &amp; DE-IDENTIFICATION</w:t>
        <w:br/>
        <w:t>Tokens are generated dynamically per session based on upper-cased entity types and sequential zero-padded counters. The text engine replaces original entities with these generated tokens. The tokenization and restoration sequence is shown in Figure 6.2.</w:t>
      </w:r>
    </w:p>
    <w:p>
      <w:pPr>
        <w:jc w:val="center"/>
      </w:pPr>
      <w:r>
        <w:drawing>
          <wp:inline xmlns:a="http://schemas.openxmlformats.org/drawingml/2006/main" xmlns:pic="http://schemas.openxmlformats.org/drawingml/2006/picture">
            <wp:extent cx="5029200" cy="566806"/>
            <wp:docPr id="10" name="Picture 10"/>
            <wp:cNvGraphicFramePr>
              <a:graphicFrameLocks noChangeAspect="1"/>
            </wp:cNvGraphicFramePr>
            <a:graphic>
              <a:graphicData uri="http://schemas.openxmlformats.org/drawingml/2006/picture">
                <pic:pic>
                  <pic:nvPicPr>
                    <pic:cNvPr id="0" name="token_restoration.png"/>
                    <pic:cNvPicPr/>
                  </pic:nvPicPr>
                  <pic:blipFill>
                    <a:blip r:embed="rId22"/>
                    <a:stretch>
                      <a:fillRect/>
                    </a:stretch>
                  </pic:blipFill>
                  <pic:spPr>
                    <a:xfrm>
                      <a:off x="0" y="0"/>
                      <a:ext cx="5029200" cy="566806"/>
                    </a:xfrm>
                    <a:prstGeom prst="rect"/>
                  </pic:spPr>
                </pic:pic>
              </a:graphicData>
            </a:graphic>
          </wp:inline>
        </w:drawing>
      </w:r>
    </w:p>
    <w:p>
      <w:pPr>
        <w:spacing w:before="120" w:after="240"/>
        <w:jc w:val="center"/>
      </w:pPr>
      <w:r>
        <w:rPr>
          <w:rFonts w:ascii="Times New Roman" w:hAnsi="Times New Roman"/>
          <w:b/>
          <w:i/>
          <w:color w:val="000000"/>
          <w:sz w:val="20"/>
        </w:rPr>
        <w:t>Fig. 6.2   Token Storage and Restoration Sequence</w:t>
      </w:r>
    </w:p>
    <w:p>
      <w:pPr>
        <w:spacing w:line="360" w:lineRule="auto" w:after="240"/>
        <w:jc w:val="both"/>
      </w:pPr>
      <w:r>
        <w:rPr>
          <w:rFonts w:ascii="Times New Roman" w:hAnsi="Times New Roman"/>
          <w:b w:val="0"/>
          <w:i w:val="0"/>
          <w:color w:val="000000"/>
          <w:sz w:val="24"/>
        </w:rPr>
        <w:t>6.4   LLM INTERACTION &amp; IDENTITY RESTORATION</w:t>
        <w:br/>
        <w:t>The de-identified note is sent to the LLM. If no API key is set, the local context-aware fallback summarizer generates a detailed clinical plan containing the tokens, allowing the vault to restore original identities in the final view.</w:t>
      </w:r>
    </w:p>
    <w:p>
      <w:pPr>
        <w:spacing w:line="360" w:lineRule="auto" w:after="240"/>
        <w:jc w:val="both"/>
      </w:pPr>
      <w:r>
        <w:rPr>
          <w:rFonts w:ascii="Times New Roman" w:hAnsi="Times New Roman"/>
          <w:b w:val="0"/>
          <w:i w:val="0"/>
          <w:color w:val="000000"/>
          <w:sz w:val="24"/>
        </w:rPr>
        <w:t>6.5   AUDIT TRAIL LOGGING</w:t>
        <w:br/>
        <w:t>The `FileAuditLogger` class in `backend/logger.py` writes transaction metadata to `logs/audit.log`, rotating the files when they exceed 1MB. Safe metadata logging ensures HIPAA compliance. The audit logging flow is mapped in Figure 6.3.</w:t>
      </w:r>
    </w:p>
    <w:p>
      <w:pPr>
        <w:jc w:val="center"/>
      </w:pPr>
      <w:r>
        <w:drawing>
          <wp:inline xmlns:a="http://schemas.openxmlformats.org/drawingml/2006/main" xmlns:pic="http://schemas.openxmlformats.org/drawingml/2006/picture">
            <wp:extent cx="5029200" cy="714935"/>
            <wp:docPr id="11" name="Picture 11"/>
            <wp:cNvGraphicFramePr>
              <a:graphicFrameLocks noChangeAspect="1"/>
            </wp:cNvGraphicFramePr>
            <a:graphic>
              <a:graphicData uri="http://schemas.openxmlformats.org/drawingml/2006/picture">
                <pic:pic>
                  <pic:nvPicPr>
                    <pic:cNvPr id="0" name="audit_logging.png"/>
                    <pic:cNvPicPr/>
                  </pic:nvPicPr>
                  <pic:blipFill>
                    <a:blip r:embed="rId23"/>
                    <a:stretch>
                      <a:fillRect/>
                    </a:stretch>
                  </pic:blipFill>
                  <pic:spPr>
                    <a:xfrm>
                      <a:off x="0" y="0"/>
                      <a:ext cx="5029200" cy="714935"/>
                    </a:xfrm>
                    <a:prstGeom prst="rect"/>
                  </pic:spPr>
                </pic:pic>
              </a:graphicData>
            </a:graphic>
          </wp:inline>
        </w:drawing>
      </w:r>
    </w:p>
    <w:p>
      <w:pPr>
        <w:spacing w:before="120" w:after="240"/>
        <w:jc w:val="center"/>
      </w:pPr>
      <w:r>
        <w:rPr>
          <w:rFonts w:ascii="Times New Roman" w:hAnsi="Times New Roman"/>
          <w:b/>
          <w:i/>
          <w:color w:val="000000"/>
          <w:sz w:val="20"/>
        </w:rPr>
        <w:t>Fig. 6.3   Audit Logging Flow</w:t>
      </w:r>
    </w:p>
    <w:p>
      <w:pPr>
        <w:spacing w:line="360" w:lineRule="auto" w:after="240"/>
        <w:jc w:val="both"/>
      </w:pPr>
      <w:r>
        <w:rPr>
          <w:rFonts w:ascii="Times New Roman" w:hAnsi="Times New Roman"/>
          <w:b w:val="0"/>
          <w:i w:val="0"/>
          <w:color w:val="000000"/>
          <w:sz w:val="24"/>
        </w:rPr>
        <w:t>Additionally, the sliding-window IP rate limiting pipeline is detailed in Figure 6.4 below.</w:t>
      </w:r>
    </w:p>
    <w:p>
      <w:pPr>
        <w:jc w:val="center"/>
      </w:pPr>
      <w:r>
        <w:drawing>
          <wp:inline xmlns:a="http://schemas.openxmlformats.org/drawingml/2006/main" xmlns:pic="http://schemas.openxmlformats.org/drawingml/2006/picture">
            <wp:extent cx="5029200" cy="5456784"/>
            <wp:docPr id="12" name="Picture 12"/>
            <wp:cNvGraphicFramePr>
              <a:graphicFrameLocks noChangeAspect="1"/>
            </wp:cNvGraphicFramePr>
            <a:graphic>
              <a:graphicData uri="http://schemas.openxmlformats.org/drawingml/2006/picture">
                <pic:pic>
                  <pic:nvPicPr>
                    <pic:cNvPr id="0" name="rate_limiting.png"/>
                    <pic:cNvPicPr/>
                  </pic:nvPicPr>
                  <pic:blipFill>
                    <a:blip r:embed="rId24"/>
                    <a:stretch>
                      <a:fillRect/>
                    </a:stretch>
                  </pic:blipFill>
                  <pic:spPr>
                    <a:xfrm>
                      <a:off x="0" y="0"/>
                      <a:ext cx="5029200" cy="5456784"/>
                    </a:xfrm>
                    <a:prstGeom prst="rect"/>
                  </pic:spPr>
                </pic:pic>
              </a:graphicData>
            </a:graphic>
          </wp:inline>
        </w:drawing>
      </w:r>
    </w:p>
    <w:p>
      <w:pPr>
        <w:spacing w:before="120" w:after="240"/>
        <w:jc w:val="center"/>
      </w:pPr>
      <w:r>
        <w:rPr>
          <w:rFonts w:ascii="Times New Roman" w:hAnsi="Times New Roman"/>
          <w:b/>
          <w:i/>
          <w:color w:val="000000"/>
          <w:sz w:val="20"/>
        </w:rPr>
        <w:t>Fig. 6.4   Rate Limiting Flow</w:t>
      </w:r>
    </w:p>
    <w:p>
      <w:r>
        <w:br w:type="page"/>
      </w:r>
    </w:p>
    <w:p>
      <w:pPr>
        <w:spacing w:before="240" w:after="240"/>
        <w:jc w:val="left"/>
      </w:pPr>
      <w:r>
        <w:rPr>
          <w:rFonts w:ascii="Times New Roman" w:hAnsi="Times New Roman"/>
          <w:b/>
          <w:i w:val="0"/>
          <w:color w:val="000000"/>
          <w:sz w:val="32"/>
        </w:rPr>
        <w:t>CHAPTER 7 — TESTING AND VALIDATION</w:t>
      </w:r>
    </w:p>
    <w:p>
      <w:pPr>
        <w:spacing w:line="360" w:lineRule="auto" w:after="240"/>
        <w:jc w:val="both"/>
      </w:pPr>
      <w:r>
        <w:rPr>
          <w:rFonts w:ascii="Times New Roman" w:hAnsi="Times New Roman"/>
          <w:b w:val="0"/>
          <w:i w:val="0"/>
          <w:color w:val="000000"/>
          <w:sz w:val="24"/>
        </w:rPr>
        <w:t>7.1   TESTING OBJECTIVES</w:t>
        <w:br/>
        <w:t>Testing aims to verify the accuracy of the rules engine, ensure token mapping durability, test exception handlers, and validate eponym preservation in clinical notes.</w:t>
      </w:r>
    </w:p>
    <w:p>
      <w:pPr>
        <w:spacing w:line="360" w:lineRule="auto" w:after="240"/>
        <w:jc w:val="both"/>
      </w:pPr>
      <w:r>
        <w:rPr>
          <w:rFonts w:ascii="Times New Roman" w:hAnsi="Times New Roman"/>
          <w:b w:val="0"/>
          <w:i w:val="0"/>
          <w:color w:val="000000"/>
          <w:sz w:val="24"/>
        </w:rPr>
        <w:t>7.2   TESTING STRATEGY</w:t>
        <w:br/>
        <w:t>The testing strategy combines automated pytest unit tests, boundary validations via pattern_validator.py, and manual API checks.</w:t>
      </w:r>
    </w:p>
    <w:p>
      <w:pPr>
        <w:spacing w:line="360" w:lineRule="auto" w:after="240"/>
        <w:jc w:val="both"/>
      </w:pPr>
      <w:r>
        <w:rPr>
          <w:rFonts w:ascii="Times New Roman" w:hAnsi="Times New Roman"/>
          <w:b w:val="0"/>
          <w:i w:val="0"/>
          <w:color w:val="000000"/>
          <w:sz w:val="24"/>
        </w:rPr>
        <w:t>7.3   UNIT TESTING</w:t>
        <w:br/>
        <w:t>The unit tests in `tests/` evaluate regex matchers, presidio scanners, evaluations, and vault storage features. Test suite specifications are listed in Table 7.1.</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Test Module</w:t>
            </w:r>
          </w:p>
        </w:tc>
        <w:tc>
          <w:tcPr>
            <w:tcW w:type="dxa" w:w="3000"/>
            <w:tcMar>
              <w:top w:w="100" w:type="dxa"/>
              <w:bottom w:w="100" w:type="dxa"/>
              <w:left w:w="150" w:type="dxa"/>
              <w:right w:w="150" w:type="dxa"/>
            </w:tcMar>
          </w:tcPr>
          <w:p>
            <w:r>
              <w:rPr>
                <w:rFonts w:ascii="Times New Roman" w:hAnsi="Times New Roman"/>
                <w:b/>
                <w:i w:val="0"/>
                <w:color w:val="000000"/>
                <w:sz w:val="21"/>
              </w:rPr>
              <w:t>Collected Assertions</w:t>
            </w:r>
          </w:p>
        </w:tc>
        <w:tc>
          <w:tcPr>
            <w:tcW w:type="dxa" w:w="3000"/>
            <w:tcMar>
              <w:top w:w="100" w:type="dxa"/>
              <w:bottom w:w="100" w:type="dxa"/>
              <w:left w:w="150" w:type="dxa"/>
              <w:right w:w="150" w:type="dxa"/>
            </w:tcMar>
          </w:tcPr>
          <w:p>
            <w:r>
              <w:rPr>
                <w:rFonts w:ascii="Times New Roman" w:hAnsi="Times New Roman"/>
                <w:b/>
                <w:i w:val="0"/>
                <w:color w:val="000000"/>
                <w:sz w:val="21"/>
              </w:rPr>
              <w:t>Target Scope Evaluated</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test_regex.py</w:t>
            </w:r>
          </w:p>
        </w:tc>
        <w:tc>
          <w:tcPr>
            <w:tcW w:type="dxa" w:w="3000"/>
            <w:tcMar>
              <w:top w:w="100" w:type="dxa"/>
              <w:bottom w:w="100" w:type="dxa"/>
              <w:left w:w="150" w:type="dxa"/>
              <w:right w:w="150" w:type="dxa"/>
            </w:tcMar>
          </w:tcPr>
          <w:p>
            <w:r>
              <w:rPr>
                <w:rFonts w:ascii="Times New Roman" w:hAnsi="Times New Roman"/>
                <w:b w:val="0"/>
                <w:i w:val="0"/>
                <w:color w:val="000000"/>
                <w:sz w:val="20"/>
              </w:rPr>
              <w:t>42 assertions</w:t>
            </w:r>
          </w:p>
        </w:tc>
        <w:tc>
          <w:tcPr>
            <w:tcW w:type="dxa" w:w="3000"/>
            <w:tcMar>
              <w:top w:w="100" w:type="dxa"/>
              <w:bottom w:w="100" w:type="dxa"/>
              <w:left w:w="150" w:type="dxa"/>
              <w:right w:w="150" w:type="dxa"/>
            </w:tcMar>
          </w:tcPr>
          <w:p>
            <w:r>
              <w:rPr>
                <w:rFonts w:ascii="Times New Roman" w:hAnsi="Times New Roman"/>
                <w:b w:val="0"/>
                <w:i w:val="0"/>
                <w:color w:val="000000"/>
                <w:sz w:val="20"/>
              </w:rPr>
              <w:t>Regex pattern matches and overlap boundaries</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test_vault.py</w:t>
            </w:r>
          </w:p>
        </w:tc>
        <w:tc>
          <w:tcPr>
            <w:tcW w:type="dxa" w:w="3000"/>
            <w:tcMar>
              <w:top w:w="100" w:type="dxa"/>
              <w:bottom w:w="100" w:type="dxa"/>
              <w:left w:w="150" w:type="dxa"/>
              <w:right w:w="150" w:type="dxa"/>
            </w:tcMar>
          </w:tcPr>
          <w:p>
            <w:r>
              <w:rPr>
                <w:rFonts w:ascii="Times New Roman" w:hAnsi="Times New Roman"/>
                <w:b w:val="0"/>
                <w:i w:val="0"/>
                <w:color w:val="000000"/>
                <w:sz w:val="20"/>
              </w:rPr>
              <w:t>5 assertions</w:t>
            </w:r>
          </w:p>
        </w:tc>
        <w:tc>
          <w:tcPr>
            <w:tcW w:type="dxa" w:w="3000"/>
            <w:tcMar>
              <w:top w:w="100" w:type="dxa"/>
              <w:bottom w:w="100" w:type="dxa"/>
              <w:left w:w="150" w:type="dxa"/>
              <w:right w:w="150" w:type="dxa"/>
            </w:tcMar>
          </w:tcPr>
          <w:p>
            <w:r>
              <w:rPr>
                <w:rFonts w:ascii="Times New Roman" w:hAnsi="Times New Roman"/>
                <w:b w:val="0"/>
                <w:i w:val="0"/>
                <w:color w:val="000000"/>
                <w:sz w:val="20"/>
              </w:rPr>
              <w:t>Redis connection setup, Fernet keys encryption</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test_nlp.py</w:t>
            </w:r>
          </w:p>
        </w:tc>
        <w:tc>
          <w:tcPr>
            <w:tcW w:type="dxa" w:w="3000"/>
            <w:tcMar>
              <w:top w:w="100" w:type="dxa"/>
              <w:bottom w:w="100" w:type="dxa"/>
              <w:left w:w="150" w:type="dxa"/>
              <w:right w:w="150" w:type="dxa"/>
            </w:tcMar>
          </w:tcPr>
          <w:p>
            <w:r>
              <w:rPr>
                <w:rFonts w:ascii="Times New Roman" w:hAnsi="Times New Roman"/>
                <w:b w:val="0"/>
                <w:i w:val="0"/>
                <w:color w:val="000000"/>
                <w:sz w:val="20"/>
              </w:rPr>
              <w:t>6 assertions</w:t>
            </w:r>
          </w:p>
        </w:tc>
        <w:tc>
          <w:tcPr>
            <w:tcW w:type="dxa" w:w="3000"/>
            <w:tcMar>
              <w:top w:w="100" w:type="dxa"/>
              <w:bottom w:w="100" w:type="dxa"/>
              <w:left w:w="150" w:type="dxa"/>
              <w:right w:w="150" w:type="dxa"/>
            </w:tcMar>
          </w:tcPr>
          <w:p>
            <w:r>
              <w:rPr>
                <w:rFonts w:ascii="Times New Roman" w:hAnsi="Times New Roman"/>
                <w:b w:val="0"/>
                <w:i w:val="0"/>
                <w:color w:val="000000"/>
                <w:sz w:val="20"/>
              </w:rPr>
              <w:t>Presidio wrapper NER extraction rates</w:t>
            </w:r>
          </w:p>
        </w:tc>
      </w:tr>
      <w:tr>
        <w:tc>
          <w:tcPr>
            <w:tcW w:type="dxa" w:w="3000"/>
            <w:tcMar>
              <w:top w:w="100" w:type="dxa"/>
              <w:bottom w:w="100" w:type="dxa"/>
              <w:left w:w="150" w:type="dxa"/>
              <w:right w:w="150" w:type="dxa"/>
            </w:tcMar>
          </w:tcPr>
          <w:p>
            <w:r>
              <w:rPr>
                <w:rFonts w:ascii="Times New Roman" w:hAnsi="Times New Roman"/>
                <w:b w:val="0"/>
                <w:i w:val="0"/>
                <w:color w:val="000000"/>
                <w:sz w:val="20"/>
              </w:rPr>
              <w:t>test_evaluator.py</w:t>
            </w:r>
          </w:p>
        </w:tc>
        <w:tc>
          <w:tcPr>
            <w:tcW w:type="dxa" w:w="3000"/>
            <w:tcMar>
              <w:top w:w="100" w:type="dxa"/>
              <w:bottom w:w="100" w:type="dxa"/>
              <w:left w:w="150" w:type="dxa"/>
              <w:right w:w="150" w:type="dxa"/>
            </w:tcMar>
          </w:tcPr>
          <w:p>
            <w:r>
              <w:rPr>
                <w:rFonts w:ascii="Times New Roman" w:hAnsi="Times New Roman"/>
                <w:b w:val="0"/>
                <w:i w:val="0"/>
                <w:color w:val="000000"/>
                <w:sz w:val="20"/>
              </w:rPr>
              <w:t>12 assertions</w:t>
            </w:r>
          </w:p>
        </w:tc>
        <w:tc>
          <w:tcPr>
            <w:tcW w:type="dxa" w:w="3000"/>
            <w:tcMar>
              <w:top w:w="100" w:type="dxa"/>
              <w:bottom w:w="100" w:type="dxa"/>
              <w:left w:w="150" w:type="dxa"/>
              <w:right w:w="150" w:type="dxa"/>
            </w:tcMar>
          </w:tcPr>
          <w:p>
            <w:r>
              <w:rPr>
                <w:rFonts w:ascii="Times New Roman" w:hAnsi="Times New Roman"/>
                <w:b w:val="0"/>
                <w:i w:val="0"/>
                <w:color w:val="000000"/>
                <w:sz w:val="20"/>
              </w:rPr>
              <w:t>Ground truth mapping precision / recall</w:t>
            </w:r>
          </w:p>
        </w:tc>
      </w:tr>
    </w:tbl>
    <w:p>
      <w:pPr>
        <w:jc w:val="center"/>
      </w:pPr>
      <w:r>
        <w:rPr>
          <w:rFonts w:ascii="Times New Roman" w:hAnsi="Times New Roman"/>
          <w:b/>
          <w:i/>
          <w:color w:val="000000"/>
          <w:sz w:val="20"/>
        </w:rPr>
        <w:t>Table 7.1   Pytest test suite layout</w:t>
      </w:r>
    </w:p>
    <w:p>
      <w:pPr>
        <w:spacing w:line="360" w:lineRule="auto" w:after="240"/>
        <w:jc w:val="both"/>
      </w:pPr>
      <w:r>
        <w:rPr>
          <w:rFonts w:ascii="Times New Roman" w:hAnsi="Times New Roman"/>
          <w:b w:val="0"/>
          <w:i w:val="0"/>
          <w:color w:val="000000"/>
          <w:sz w:val="24"/>
        </w:rPr>
        <w:t>7.4   INTEGRATION TESTING</w:t>
        <w:br/>
        <w:t>Integration testing verifies Redis database connection client setups, Presidio spaCy loading, and Flask routing.</w:t>
      </w:r>
    </w:p>
    <w:tbl>
      <w:tblPr>
        <w:tblW w:type="auto" w:w="0"/>
        <w:jc w:val="center"/>
        <w:tblLook w:firstColumn="1" w:firstRow="1" w:lastColumn="0" w:lastRow="0" w:noHBand="0" w:noVBand="1" w:val="04A0"/>
      </w:tblPr>
      <w:tblGrid>
        <w:gridCol w:w="3000"/>
        <w:gridCol w:w="3000"/>
        <w:gridCol w:w="3000"/>
      </w:tblGrid>
      <w:tr>
        <w:tc>
          <w:tcPr>
            <w:tcW w:type="dxa" w:w="3000"/>
            <w:tcMar>
              <w:top w:w="100" w:type="dxa"/>
              <w:bottom w:w="100" w:type="dxa"/>
              <w:left w:w="150" w:type="dxa"/>
              <w:right w:w="150" w:type="dxa"/>
            </w:tcMar>
          </w:tcPr>
          <w:p>
            <w:r>
              <w:rPr>
                <w:rFonts w:ascii="Times New Roman" w:hAnsi="Times New Roman"/>
                <w:b/>
                <w:i w:val="0"/>
                <w:color w:val="000000"/>
                <w:sz w:val="21"/>
              </w:rPr>
              <w:t>Pattern Evaluated</w:t>
            </w:r>
          </w:p>
        </w:tc>
        <w:tc>
          <w:tcPr>
            <w:tcW w:type="dxa" w:w="3000"/>
            <w:tcMar>
              <w:top w:w="100" w:type="dxa"/>
              <w:bottom w:w="100" w:type="dxa"/>
              <w:left w:w="150" w:type="dxa"/>
              <w:right w:w="150" w:type="dxa"/>
            </w:tcMar>
          </w:tcPr>
          <w:p>
            <w:r>
              <w:rPr>
                <w:rFonts w:ascii="Times New Roman" w:hAnsi="Times New Roman"/>
                <w:b/>
                <w:i w:val="0"/>
                <w:color w:val="000000"/>
                <w:sz w:val="21"/>
              </w:rPr>
              <w:t>Positive boundary cases</w:t>
            </w:r>
          </w:p>
        </w:tc>
        <w:tc>
          <w:tcPr>
            <w:tcW w:type="dxa" w:w="3000"/>
            <w:tcMar>
              <w:top w:w="100" w:type="dxa"/>
              <w:bottom w:w="100" w:type="dxa"/>
              <w:left w:w="150" w:type="dxa"/>
              <w:right w:w="150" w:type="dxa"/>
            </w:tcMar>
          </w:tcPr>
          <w:p>
            <w:r>
              <w:rPr>
                <w:rFonts w:ascii="Times New Roman" w:hAnsi="Times New Roman"/>
                <w:b/>
                <w:i w:val="0"/>
                <w:color w:val="000000"/>
                <w:sz w:val="21"/>
              </w:rPr>
              <w:t>Negative boundary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Aadhaar / SSN</w:t>
            </w:r>
          </w:p>
        </w:tc>
        <w:tc>
          <w:tcPr>
            <w:tcW w:type="dxa" w:w="3000"/>
            <w:tcMar>
              <w:top w:w="100" w:type="dxa"/>
              <w:bottom w:w="100" w:type="dxa"/>
              <w:left w:w="150" w:type="dxa"/>
              <w:right w:w="150" w:type="dxa"/>
            </w:tcMar>
          </w:tcPr>
          <w:p>
            <w:r>
              <w:rPr>
                <w:rFonts w:ascii="Times New Roman" w:hAnsi="Times New Roman"/>
                <w:b w:val="0"/>
                <w:i w:val="0"/>
                <w:color w:val="000000"/>
                <w:sz w:val="20"/>
              </w:rPr>
              <w:t>6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3 negative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Dates (6 formats)</w:t>
            </w:r>
          </w:p>
        </w:tc>
        <w:tc>
          <w:tcPr>
            <w:tcW w:type="dxa" w:w="3000"/>
            <w:tcMar>
              <w:top w:w="100" w:type="dxa"/>
              <w:bottom w:w="100" w:type="dxa"/>
              <w:left w:w="150" w:type="dxa"/>
              <w:right w:w="150" w:type="dxa"/>
            </w:tcMar>
          </w:tcPr>
          <w:p>
            <w:r>
              <w:rPr>
                <w:rFonts w:ascii="Times New Roman" w:hAnsi="Times New Roman"/>
                <w:b w:val="0"/>
                <w:i w:val="0"/>
                <w:color w:val="000000"/>
                <w:sz w:val="20"/>
              </w:rPr>
              <w:t>12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6 negative cases</w:t>
            </w:r>
          </w:p>
        </w:tc>
      </w:tr>
      <w:tr>
        <w:tc>
          <w:tcPr>
            <w:tcW w:type="dxa" w:w="3000"/>
            <w:tcMar>
              <w:top w:w="100" w:type="dxa"/>
              <w:bottom w:w="100" w:type="dxa"/>
              <w:left w:w="150" w:type="dxa"/>
              <w:right w:w="150" w:type="dxa"/>
            </w:tcMar>
          </w:tcPr>
          <w:p>
            <w:r>
              <w:rPr>
                <w:rFonts w:ascii="Times New Roman" w:hAnsi="Times New Roman"/>
                <w:b w:val="0"/>
                <w:i w:val="0"/>
                <w:color w:val="000000"/>
                <w:sz w:val="20"/>
              </w:rPr>
              <w:t>URLs / Emails</w:t>
            </w:r>
          </w:p>
        </w:tc>
        <w:tc>
          <w:tcPr>
            <w:tcW w:type="dxa" w:w="3000"/>
            <w:tcMar>
              <w:top w:w="100" w:type="dxa"/>
              <w:bottom w:w="100" w:type="dxa"/>
              <w:left w:w="150" w:type="dxa"/>
              <w:right w:w="150" w:type="dxa"/>
            </w:tcMar>
          </w:tcPr>
          <w:p>
            <w:r>
              <w:rPr>
                <w:rFonts w:ascii="Times New Roman" w:hAnsi="Times New Roman"/>
                <w:b w:val="0"/>
                <w:i w:val="0"/>
                <w:color w:val="000000"/>
                <w:sz w:val="20"/>
              </w:rPr>
              <w:t>8 positive cases</w:t>
            </w:r>
          </w:p>
        </w:tc>
        <w:tc>
          <w:tcPr>
            <w:tcW w:type="dxa" w:w="3000"/>
            <w:tcMar>
              <w:top w:w="100" w:type="dxa"/>
              <w:bottom w:w="100" w:type="dxa"/>
              <w:left w:w="150" w:type="dxa"/>
              <w:right w:w="150" w:type="dxa"/>
            </w:tcMar>
          </w:tcPr>
          <w:p>
            <w:r>
              <w:rPr>
                <w:rFonts w:ascii="Times New Roman" w:hAnsi="Times New Roman"/>
                <w:b w:val="0"/>
                <w:i w:val="0"/>
                <w:color w:val="000000"/>
                <w:sz w:val="20"/>
              </w:rPr>
              <w:t>4 negative cases</w:t>
            </w:r>
          </w:p>
        </w:tc>
      </w:tr>
    </w:tbl>
    <w:p>
      <w:pPr>
        <w:jc w:val="center"/>
      </w:pPr>
      <w:r>
        <w:rPr>
          <w:rFonts w:ascii="Times New Roman" w:hAnsi="Times New Roman"/>
          <w:b/>
          <w:i/>
          <w:color w:val="000000"/>
          <w:sz w:val="20"/>
        </w:rPr>
        <w:t>Table 7.2   Pattern validator assertion test cases</w:t>
      </w:r>
    </w:p>
    <w:p>
      <w:pPr>
        <w:spacing w:line="360" w:lineRule="auto" w:after="240"/>
        <w:jc w:val="both"/>
      </w:pPr>
      <w:r>
        <w:rPr>
          <w:rFonts w:ascii="Times New Roman" w:hAnsi="Times New Roman"/>
          <w:b w:val="0"/>
          <w:i w:val="0"/>
          <w:color w:val="000000"/>
          <w:sz w:val="24"/>
        </w:rPr>
        <w:t>7.5   TEST CASES &amp; RESULTS</w:t>
        <w:br/>
        <w:t>A total of 65 test cases were executed and passed. Testing gaps include a lack of high-concurrency Redis lock tests and multi-line note performance evaluations under stress. Summary statistics of execution runs are compiled in Table 7.3.</w:t>
      </w:r>
    </w:p>
    <w:tbl>
      <w:tblPr>
        <w:tblW w:type="auto" w:w="0"/>
        <w:jc w:val="center"/>
        <w:tblLook w:firstColumn="1" w:firstRow="1" w:lastColumn="0" w:lastRow="0" w:noHBand="0" w:noVBand="1" w:val="04A0"/>
      </w:tblPr>
      <w:tblGrid>
        <w:gridCol w:w="2250"/>
        <w:gridCol w:w="2250"/>
        <w:gridCol w:w="2250"/>
        <w:gridCol w:w="2250"/>
      </w:tblGrid>
      <w:tr>
        <w:tc>
          <w:tcPr>
            <w:tcW w:type="dxa" w:w="2250"/>
            <w:tcMar>
              <w:top w:w="100" w:type="dxa"/>
              <w:bottom w:w="100" w:type="dxa"/>
              <w:left w:w="150" w:type="dxa"/>
              <w:right w:w="150" w:type="dxa"/>
            </w:tcMar>
          </w:tcPr>
          <w:p>
            <w:r>
              <w:rPr>
                <w:rFonts w:ascii="Times New Roman" w:hAnsi="Times New Roman"/>
                <w:b/>
                <w:i w:val="0"/>
                <w:color w:val="000000"/>
                <w:sz w:val="21"/>
              </w:rPr>
              <w:t>Test Suite File</w:t>
            </w:r>
          </w:p>
        </w:tc>
        <w:tc>
          <w:tcPr>
            <w:tcW w:type="dxa" w:w="2250"/>
            <w:tcMar>
              <w:top w:w="100" w:type="dxa"/>
              <w:bottom w:w="100" w:type="dxa"/>
              <w:left w:w="150" w:type="dxa"/>
              <w:right w:w="150" w:type="dxa"/>
            </w:tcMar>
          </w:tcPr>
          <w:p>
            <w:r>
              <w:rPr>
                <w:rFonts w:ascii="Times New Roman" w:hAnsi="Times New Roman"/>
                <w:b/>
                <w:i w:val="0"/>
                <w:color w:val="000000"/>
                <w:sz w:val="21"/>
              </w:rPr>
              <w:t>Collected Assertions</w:t>
            </w:r>
          </w:p>
        </w:tc>
        <w:tc>
          <w:tcPr>
            <w:tcW w:type="dxa" w:w="2250"/>
            <w:tcMar>
              <w:top w:w="100" w:type="dxa"/>
              <w:bottom w:w="100" w:type="dxa"/>
              <w:left w:w="150" w:type="dxa"/>
              <w:right w:w="150" w:type="dxa"/>
            </w:tcMar>
          </w:tcPr>
          <w:p>
            <w:r>
              <w:rPr>
                <w:rFonts w:ascii="Times New Roman" w:hAnsi="Times New Roman"/>
                <w:b/>
                <w:i w:val="0"/>
                <w:color w:val="000000"/>
                <w:sz w:val="21"/>
              </w:rPr>
              <w:t>Execution Time</w:t>
            </w:r>
          </w:p>
        </w:tc>
        <w:tc>
          <w:tcPr>
            <w:tcW w:type="dxa" w:w="2250"/>
            <w:tcMar>
              <w:top w:w="100" w:type="dxa"/>
              <w:bottom w:w="100" w:type="dxa"/>
              <w:left w:w="150" w:type="dxa"/>
              <w:right w:w="150" w:type="dxa"/>
            </w:tcMar>
          </w:tcPr>
          <w:p>
            <w:r>
              <w:rPr>
                <w:rFonts w:ascii="Times New Roman" w:hAnsi="Times New Roman"/>
                <w:b/>
                <w:i w:val="0"/>
                <w:color w:val="000000"/>
                <w:sz w:val="21"/>
              </w:rPr>
              <w:t>Verification Status</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test_regex.py</w:t>
            </w:r>
          </w:p>
        </w:tc>
        <w:tc>
          <w:tcPr>
            <w:tcW w:type="dxa" w:w="2250"/>
            <w:tcMar>
              <w:top w:w="100" w:type="dxa"/>
              <w:bottom w:w="100" w:type="dxa"/>
              <w:left w:w="150" w:type="dxa"/>
              <w:right w:w="150" w:type="dxa"/>
            </w:tcMar>
          </w:tcPr>
          <w:p>
            <w:r>
              <w:rPr>
                <w:rFonts w:ascii="Times New Roman" w:hAnsi="Times New Roman"/>
                <w:b w:val="0"/>
                <w:i w:val="0"/>
                <w:color w:val="000000"/>
                <w:sz w:val="20"/>
              </w:rPr>
              <w:t>42 passed</w:t>
            </w:r>
          </w:p>
        </w:tc>
        <w:tc>
          <w:tcPr>
            <w:tcW w:type="dxa" w:w="2250"/>
            <w:tcMar>
              <w:top w:w="100" w:type="dxa"/>
              <w:bottom w:w="100" w:type="dxa"/>
              <w:left w:w="150" w:type="dxa"/>
              <w:right w:w="150" w:type="dxa"/>
            </w:tcMar>
          </w:tcPr>
          <w:p>
            <w:r>
              <w:rPr>
                <w:rFonts w:ascii="Times New Roman" w:hAnsi="Times New Roman"/>
                <w:b w:val="0"/>
                <w:i w:val="0"/>
                <w:color w:val="000000"/>
                <w:sz w:val="20"/>
              </w:rPr>
              <w:t>1.15s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test_vault.py</w:t>
            </w:r>
          </w:p>
        </w:tc>
        <w:tc>
          <w:tcPr>
            <w:tcW w:type="dxa" w:w="2250"/>
            <w:tcMar>
              <w:top w:w="100" w:type="dxa"/>
              <w:bottom w:w="100" w:type="dxa"/>
              <w:left w:w="150" w:type="dxa"/>
              <w:right w:w="150" w:type="dxa"/>
            </w:tcMar>
          </w:tcPr>
          <w:p>
            <w:r>
              <w:rPr>
                <w:rFonts w:ascii="Times New Roman" w:hAnsi="Times New Roman"/>
                <w:b w:val="0"/>
                <w:i w:val="0"/>
                <w:color w:val="000000"/>
                <w:sz w:val="20"/>
              </w:rPr>
              <w:t>5 passed</w:t>
            </w:r>
          </w:p>
        </w:tc>
        <w:tc>
          <w:tcPr>
            <w:tcW w:type="dxa" w:w="2250"/>
            <w:tcMar>
              <w:top w:w="100" w:type="dxa"/>
              <w:bottom w:w="100" w:type="dxa"/>
              <w:left w:w="150" w:type="dxa"/>
              <w:right w:w="150" w:type="dxa"/>
            </w:tcMar>
          </w:tcPr>
          <w:p>
            <w:r>
              <w:rPr>
                <w:rFonts w:ascii="Times New Roman" w:hAnsi="Times New Roman"/>
                <w:b w:val="0"/>
                <w:i w:val="0"/>
                <w:color w:val="000000"/>
                <w:sz w:val="20"/>
              </w:rPr>
              <w:t>0.45s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r>
        <w:tc>
          <w:tcPr>
            <w:tcW w:type="dxa" w:w="2250"/>
            <w:tcMar>
              <w:top w:w="100" w:type="dxa"/>
              <w:bottom w:w="100" w:type="dxa"/>
              <w:left w:w="150" w:type="dxa"/>
              <w:right w:w="150" w:type="dxa"/>
            </w:tcMar>
          </w:tcPr>
          <w:p>
            <w:r>
              <w:rPr>
                <w:rFonts w:ascii="Times New Roman" w:hAnsi="Times New Roman"/>
                <w:b w:val="0"/>
                <w:i w:val="0"/>
                <w:color w:val="000000"/>
                <w:sz w:val="20"/>
              </w:rPr>
              <w:t>test_nlp.py</w:t>
            </w:r>
          </w:p>
        </w:tc>
        <w:tc>
          <w:tcPr>
            <w:tcW w:type="dxa" w:w="2250"/>
            <w:tcMar>
              <w:top w:w="100" w:type="dxa"/>
              <w:bottom w:w="100" w:type="dxa"/>
              <w:left w:w="150" w:type="dxa"/>
              <w:right w:w="150" w:type="dxa"/>
            </w:tcMar>
          </w:tcPr>
          <w:p>
            <w:r>
              <w:rPr>
                <w:rFonts w:ascii="Times New Roman" w:hAnsi="Times New Roman"/>
                <w:b w:val="0"/>
                <w:i w:val="0"/>
                <w:color w:val="000000"/>
                <w:sz w:val="20"/>
              </w:rPr>
              <w:t>6 passed</w:t>
            </w:r>
          </w:p>
        </w:tc>
        <w:tc>
          <w:tcPr>
            <w:tcW w:type="dxa" w:w="2250"/>
            <w:tcMar>
              <w:top w:w="100" w:type="dxa"/>
              <w:bottom w:w="100" w:type="dxa"/>
              <w:left w:w="150" w:type="dxa"/>
              <w:right w:w="150" w:type="dxa"/>
            </w:tcMar>
          </w:tcPr>
          <w:p>
            <w:r>
              <w:rPr>
                <w:rFonts w:ascii="Times New Roman" w:hAnsi="Times New Roman"/>
                <w:b w:val="0"/>
                <w:i w:val="0"/>
                <w:color w:val="000000"/>
                <w:sz w:val="20"/>
              </w:rPr>
              <w:t>0.65s</w:t>
            </w:r>
          </w:p>
        </w:tc>
        <w:tc>
          <w:tcPr>
            <w:tcW w:type="dxa" w:w="2250"/>
            <w:tcMar>
              <w:top w:w="100" w:type="dxa"/>
              <w:bottom w:w="100" w:type="dxa"/>
              <w:left w:w="150" w:type="dxa"/>
              <w:right w:w="150" w:type="dxa"/>
            </w:tcMar>
          </w:tcPr>
          <w:p>
            <w:r>
              <w:rPr>
                <w:rFonts w:ascii="Times New Roman" w:hAnsi="Times New Roman"/>
                <w:b w:val="0"/>
                <w:i w:val="0"/>
                <w:color w:val="000000"/>
                <w:sz w:val="20"/>
              </w:rPr>
              <w:t>PASSED</w:t>
            </w:r>
          </w:p>
        </w:tc>
      </w:tr>
    </w:tbl>
    <w:p>
      <w:pPr>
        <w:jc w:val="center"/>
      </w:pPr>
      <w:r>
        <w:rPr>
          <w:rFonts w:ascii="Times New Roman" w:hAnsi="Times New Roman"/>
          <w:b/>
          <w:i/>
          <w:color w:val="000000"/>
          <w:sz w:val="20"/>
        </w:rPr>
        <w:t>Table 7.3   Test execution results metrics</w:t>
      </w:r>
    </w:p>
    <w:p>
      <w:r>
        <w:br w:type="page"/>
      </w:r>
    </w:p>
    <w:p>
      <w:pPr>
        <w:spacing w:before="240" w:after="240"/>
        <w:jc w:val="left"/>
      </w:pPr>
      <w:r>
        <w:rPr>
          <w:rFonts w:ascii="Times New Roman" w:hAnsi="Times New Roman"/>
          <w:b/>
          <w:i w:val="0"/>
          <w:color w:val="000000"/>
          <w:sz w:val="32"/>
        </w:rPr>
        <w:t>CHAPTER 8 — RESULTS AND OUTPUTS</w:t>
      </w:r>
    </w:p>
    <w:p>
      <w:pPr>
        <w:spacing w:line="360" w:lineRule="auto" w:after="240"/>
        <w:jc w:val="both"/>
      </w:pPr>
      <w:r>
        <w:rPr>
          <w:rFonts w:ascii="Times New Roman" w:hAnsi="Times New Roman"/>
          <w:b w:val="0"/>
          <w:i w:val="0"/>
          <w:color w:val="000000"/>
          <w:sz w:val="24"/>
        </w:rPr>
        <w:t>8.1   APPLICATION STARTUP &amp; CONFIGURATION</w:t>
        <w:br/>
        <w:t>The application logs confirm that the server initializes successfully, loading the spaCy models, connecting to Redis, and creating the log directories. Startup log details are captured in Figure 8.2.</w:t>
      </w:r>
    </w:p>
    <w:p>
      <w:pPr>
        <w:jc w:val="center"/>
      </w:pPr>
      <w:r>
        <w:drawing>
          <wp:inline xmlns:a="http://schemas.openxmlformats.org/drawingml/2006/main" xmlns:pic="http://schemas.openxmlformats.org/drawingml/2006/picture">
            <wp:extent cx="5029200" cy="2625772"/>
            <wp:docPr id="13" name="Picture 13"/>
            <wp:cNvGraphicFramePr>
              <a:graphicFrameLocks noChangeAspect="1"/>
            </wp:cNvGraphicFramePr>
            <a:graphic>
              <a:graphicData uri="http://schemas.openxmlformats.org/drawingml/2006/picture">
                <pic:pic>
                  <pic:nvPicPr>
                    <pic:cNvPr id="0" name="flask_startup_diagnostics.png"/>
                    <pic:cNvPicPr/>
                  </pic:nvPicPr>
                  <pic:blipFill>
                    <a:blip r:embed="rId25"/>
                    <a:stretch>
                      <a:fillRect/>
                    </a:stretch>
                  </pic:blipFill>
                  <pic:spPr>
                    <a:xfrm>
                      <a:off x="0" y="0"/>
                      <a:ext cx="5029200" cy="2625772"/>
                    </a:xfrm>
                    <a:prstGeom prst="rect"/>
                  </pic:spPr>
                </pic:pic>
              </a:graphicData>
            </a:graphic>
          </wp:inline>
        </w:drawing>
      </w:r>
    </w:p>
    <w:p>
      <w:pPr>
        <w:spacing w:before="120" w:after="240"/>
        <w:jc w:val="center"/>
      </w:pPr>
      <w:r>
        <w:rPr>
          <w:rFonts w:ascii="Times New Roman" w:hAnsi="Times New Roman"/>
          <w:b/>
          <w:i/>
          <w:color w:val="000000"/>
          <w:sz w:val="20"/>
        </w:rPr>
        <w:t>Fig. 8.2   Flask Startup Diagnostics</w:t>
      </w:r>
    </w:p>
    <w:p>
      <w:pPr>
        <w:spacing w:line="360" w:lineRule="auto" w:after="240"/>
        <w:jc w:val="both"/>
      </w:pPr>
      <w:r>
        <w:rPr>
          <w:rFonts w:ascii="Times New Roman" w:hAnsi="Times New Roman"/>
          <w:b w:val="0"/>
          <w:i w:val="0"/>
          <w:color w:val="000000"/>
          <w:sz w:val="24"/>
        </w:rPr>
        <w:t>8.2   MAIN GATEWAY USER INTERFACE</w:t>
        <w:br/>
        <w:t>The single-page web dashboard provides sections for note input, de-identified preview, active sessions, and audit logs. The Login screen and empty Main dashboard layout are captured in Figure 8.3 and Figure 8.4 respectively.</w:t>
      </w:r>
    </w:p>
    <w:p>
      <w:pPr>
        <w:jc w:val="center"/>
      </w:pPr>
      <w:r>
        <w:drawing>
          <wp:inline xmlns:a="http://schemas.openxmlformats.org/drawingml/2006/main" xmlns:pic="http://schemas.openxmlformats.org/drawingml/2006/picture">
            <wp:extent cx="5029200" cy="3923559"/>
            <wp:docPr id="14" name="Picture 14"/>
            <wp:cNvGraphicFramePr>
              <a:graphicFrameLocks noChangeAspect="1"/>
            </wp:cNvGraphicFramePr>
            <a:graphic>
              <a:graphicData uri="http://schemas.openxmlformats.org/drawingml/2006/picture">
                <pic:pic>
                  <pic:nvPicPr>
                    <pic:cNvPr id="0" name="frontend_login.png"/>
                    <pic:cNvPicPr/>
                  </pic:nvPicPr>
                  <pic:blipFill>
                    <a:blip r:embed="rId26"/>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8.3   Frontend Login Interface</w:t>
      </w:r>
    </w:p>
    <w:p>
      <w:pPr>
        <w:jc w:val="center"/>
      </w:pPr>
      <w:r>
        <w:drawing>
          <wp:inline xmlns:a="http://schemas.openxmlformats.org/drawingml/2006/main" xmlns:pic="http://schemas.openxmlformats.org/drawingml/2006/picture">
            <wp:extent cx="5029200" cy="3923559"/>
            <wp:docPr id="15" name="Picture 15"/>
            <wp:cNvGraphicFramePr>
              <a:graphicFrameLocks noChangeAspect="1"/>
            </wp:cNvGraphicFramePr>
            <a:graphic>
              <a:graphicData uri="http://schemas.openxmlformats.org/drawingml/2006/picture">
                <pic:pic>
                  <pic:nvPicPr>
                    <pic:cNvPr id="0" name="ehr_dashboard.png"/>
                    <pic:cNvPicPr/>
                  </pic:nvPicPr>
                  <pic:blipFill>
                    <a:blip r:embed="rId27"/>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8.4   EHR Proxy Dashboard</w:t>
      </w:r>
    </w:p>
    <w:p>
      <w:pPr>
        <w:spacing w:line="360" w:lineRule="auto" w:after="240"/>
        <w:jc w:val="both"/>
      </w:pPr>
      <w:r>
        <w:rPr>
          <w:rFonts w:ascii="Times New Roman" w:hAnsi="Times New Roman"/>
          <w:b w:val="0"/>
          <w:i w:val="0"/>
          <w:color w:val="000000"/>
          <w:sz w:val="24"/>
        </w:rPr>
        <w:t>8.3   INPUT NOTE DE-IDENTIFICATION RUN</w:t>
        <w:br/>
        <w:t>Submitting notes successfully replaces PII values with generated session tokens, displaying a green highlighted diff. The clinical note input pre-check risk modal and de-identified outputs are captured in Figures 8.5 to 8.7.</w:t>
      </w:r>
    </w:p>
    <w:p>
      <w:pPr>
        <w:jc w:val="center"/>
      </w:pPr>
      <w:r>
        <w:drawing>
          <wp:inline xmlns:a="http://schemas.openxmlformats.org/drawingml/2006/main" xmlns:pic="http://schemas.openxmlformats.org/drawingml/2006/picture">
            <wp:extent cx="5029200" cy="3923559"/>
            <wp:docPr id="16" name="Picture 16"/>
            <wp:cNvGraphicFramePr>
              <a:graphicFrameLocks noChangeAspect="1"/>
            </wp:cNvGraphicFramePr>
            <a:graphic>
              <a:graphicData uri="http://schemas.openxmlformats.org/drawingml/2006/picture">
                <pic:pic>
                  <pic:nvPicPr>
                    <pic:cNvPr id="0" name="redaction_result.png"/>
                    <pic:cNvPicPr/>
                  </pic:nvPicPr>
                  <pic:blipFill>
                    <a:blip r:embed="rId28"/>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8.7   Redacted Note with Tokens</w:t>
      </w:r>
    </w:p>
    <w:p>
      <w:pPr>
        <w:spacing w:line="360" w:lineRule="auto" w:after="240"/>
        <w:jc w:val="both"/>
      </w:pPr>
      <w:r>
        <w:rPr>
          <w:rFonts w:ascii="Times New Roman" w:hAnsi="Times New Roman"/>
          <w:b w:val="0"/>
          <w:i w:val="0"/>
          <w:color w:val="000000"/>
          <w:sz w:val="24"/>
        </w:rPr>
        <w:t>8.4   RESTORATION &amp; DYNAMIC AI RESPONSE</w:t>
        <w:br/>
        <w:t>The local fallback summarizer returns a dynamic summary that successfully restores patient identities.</w:t>
      </w:r>
    </w:p>
    <w:p>
      <w:pPr>
        <w:spacing w:line="360" w:lineRule="auto" w:after="240"/>
        <w:jc w:val="both"/>
      </w:pPr>
      <w:r>
        <w:rPr>
          <w:rFonts w:ascii="Times New Roman" w:hAnsi="Times New Roman"/>
          <w:b w:val="0"/>
          <w:i w:val="0"/>
          <w:color w:val="000000"/>
          <w:sz w:val="24"/>
        </w:rPr>
        <w:t>8.5   AUDIT LOGS &amp; COMPLIANCE METRICS</w:t>
        <w:br/>
        <w:t>The audit view displays transaction metadata (timing, token counts) while keeping the clinical details secure. Active session mappings are listed in Figure 8.10, and anonymized audit rows are shown in Figure 8.11.</w:t>
      </w:r>
    </w:p>
    <w:p>
      <w:pPr>
        <w:jc w:val="center"/>
      </w:pPr>
      <w:r>
        <w:drawing>
          <wp:inline xmlns:a="http://schemas.openxmlformats.org/drawingml/2006/main" xmlns:pic="http://schemas.openxmlformats.org/drawingml/2006/picture">
            <wp:extent cx="5029200" cy="3923559"/>
            <wp:docPr id="17" name="Picture 17"/>
            <wp:cNvGraphicFramePr>
              <a:graphicFrameLocks noChangeAspect="1"/>
            </wp:cNvGraphicFramePr>
            <a:graphic>
              <a:graphicData uri="http://schemas.openxmlformats.org/drawingml/2006/picture">
                <pic:pic>
                  <pic:nvPicPr>
                    <pic:cNvPr id="0" name="vault_sessions.png"/>
                    <pic:cNvPicPr/>
                  </pic:nvPicPr>
                  <pic:blipFill>
                    <a:blip r:embed="rId29"/>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8.10   Mapped Active Session Keys</w:t>
      </w:r>
    </w:p>
    <w:p>
      <w:pPr>
        <w:jc w:val="center"/>
      </w:pPr>
      <w:r>
        <w:drawing>
          <wp:inline xmlns:a="http://schemas.openxmlformats.org/drawingml/2006/main" xmlns:pic="http://schemas.openxmlformats.org/drawingml/2006/picture">
            <wp:extent cx="5029200" cy="3923559"/>
            <wp:docPr id="18" name="Picture 18"/>
            <wp:cNvGraphicFramePr>
              <a:graphicFrameLocks noChangeAspect="1"/>
            </wp:cNvGraphicFramePr>
            <a:graphic>
              <a:graphicData uri="http://schemas.openxmlformats.org/drawingml/2006/picture">
                <pic:pic>
                  <pic:nvPicPr>
                    <pic:cNvPr id="0" name="audit_logs.png"/>
                    <pic:cNvPicPr/>
                  </pic:nvPicPr>
                  <pic:blipFill>
                    <a:blip r:embed="rId30"/>
                    <a:stretch>
                      <a:fillRect/>
                    </a:stretch>
                  </pic:blipFill>
                  <pic:spPr>
                    <a:xfrm>
                      <a:off x="0" y="0"/>
                      <a:ext cx="5029200" cy="3923559"/>
                    </a:xfrm>
                    <a:prstGeom prst="rect"/>
                  </pic:spPr>
                </pic:pic>
              </a:graphicData>
            </a:graphic>
          </wp:inline>
        </w:drawing>
      </w:r>
    </w:p>
    <w:p>
      <w:pPr>
        <w:spacing w:before="120" w:after="240"/>
        <w:jc w:val="center"/>
      </w:pPr>
      <w:r>
        <w:rPr>
          <w:rFonts w:ascii="Times New Roman" w:hAnsi="Times New Roman"/>
          <w:b/>
          <w:i/>
          <w:color w:val="000000"/>
          <w:sz w:val="20"/>
        </w:rPr>
        <w:t>Fig. 8.11   Anonymized audit log rows</w:t>
      </w:r>
    </w:p>
    <w:p>
      <w:pPr>
        <w:spacing w:line="360" w:lineRule="auto" w:after="240"/>
        <w:jc w:val="both"/>
      </w:pPr>
      <w:r>
        <w:rPr>
          <w:rFonts w:ascii="Times New Roman" w:hAnsi="Times New Roman"/>
          <w:b w:val="0"/>
          <w:i w:val="0"/>
          <w:color w:val="000000"/>
          <w:sz w:val="24"/>
        </w:rPr>
        <w:t>The following validation terminal executions are captured in Figures 8.15 to 8.19.</w:t>
      </w:r>
    </w:p>
    <w:p>
      <w:pPr>
        <w:jc w:val="center"/>
      </w:pPr>
      <w:r>
        <w:drawing>
          <wp:inline xmlns:a="http://schemas.openxmlformats.org/drawingml/2006/main" xmlns:pic="http://schemas.openxmlformats.org/drawingml/2006/picture">
            <wp:extent cx="5029200" cy="2117558"/>
            <wp:docPr id="19" name="Picture 19"/>
            <wp:cNvGraphicFramePr>
              <a:graphicFrameLocks noChangeAspect="1"/>
            </wp:cNvGraphicFramePr>
            <a:graphic>
              <a:graphicData uri="http://schemas.openxmlformats.org/drawingml/2006/picture">
                <pic:pic>
                  <pic:nvPicPr>
                    <pic:cNvPr id="0" name="pytest_results.png"/>
                    <pic:cNvPicPr/>
                  </pic:nvPicPr>
                  <pic:blipFill>
                    <a:blip r:embed="rId31"/>
                    <a:stretch>
                      <a:fillRect/>
                    </a:stretch>
                  </pic:blipFill>
                  <pic:spPr>
                    <a:xfrm>
                      <a:off x="0" y="0"/>
                      <a:ext cx="5029200" cy="2117558"/>
                    </a:xfrm>
                    <a:prstGeom prst="rect"/>
                  </pic:spPr>
                </pic:pic>
              </a:graphicData>
            </a:graphic>
          </wp:inline>
        </w:drawing>
      </w:r>
    </w:p>
    <w:p>
      <w:pPr>
        <w:spacing w:before="120" w:after="240"/>
        <w:jc w:val="center"/>
      </w:pPr>
      <w:r>
        <w:rPr>
          <w:rFonts w:ascii="Times New Roman" w:hAnsi="Times New Roman"/>
          <w:b/>
          <w:i/>
          <w:color w:val="000000"/>
          <w:sz w:val="20"/>
        </w:rPr>
        <w:t>Fig. 8.15   Pytest 65 Cases Passed</w:t>
      </w:r>
    </w:p>
    <w:p>
      <w:pPr>
        <w:jc w:val="center"/>
      </w:pPr>
      <w:r>
        <w:drawing>
          <wp:inline xmlns:a="http://schemas.openxmlformats.org/drawingml/2006/main" xmlns:pic="http://schemas.openxmlformats.org/drawingml/2006/picture">
            <wp:extent cx="5029200" cy="1736396"/>
            <wp:docPr id="20" name="Picture 20"/>
            <wp:cNvGraphicFramePr>
              <a:graphicFrameLocks noChangeAspect="1"/>
            </wp:cNvGraphicFramePr>
            <a:graphic>
              <a:graphicData uri="http://schemas.openxmlformats.org/drawingml/2006/picture">
                <pic:pic>
                  <pic:nvPicPr>
                    <pic:cNvPr id="0" name="pattern_validator_results.png"/>
                    <pic:cNvPicPr/>
                  </pic:nvPicPr>
                  <pic:blipFill>
                    <a:blip r:embed="rId32"/>
                    <a:stretch>
                      <a:fillRect/>
                    </a:stretch>
                  </pic:blipFill>
                  <pic:spPr>
                    <a:xfrm>
                      <a:off x="0" y="0"/>
                      <a:ext cx="5029200" cy="1736396"/>
                    </a:xfrm>
                    <a:prstGeom prst="rect"/>
                  </pic:spPr>
                </pic:pic>
              </a:graphicData>
            </a:graphic>
          </wp:inline>
        </w:drawing>
      </w:r>
    </w:p>
    <w:p>
      <w:pPr>
        <w:spacing w:before="120" w:after="240"/>
        <w:jc w:val="center"/>
      </w:pPr>
      <w:r>
        <w:rPr>
          <w:rFonts w:ascii="Times New Roman" w:hAnsi="Times New Roman"/>
          <w:b/>
          <w:i/>
          <w:color w:val="000000"/>
          <w:sz w:val="20"/>
        </w:rPr>
        <w:t>Fig. 8.17   Pattern validator outputs</w:t>
      </w:r>
    </w:p>
    <w:p>
      <w:pPr>
        <w:jc w:val="center"/>
      </w:pPr>
      <w:r>
        <w:drawing>
          <wp:inline xmlns:a="http://schemas.openxmlformats.org/drawingml/2006/main" xmlns:pic="http://schemas.openxmlformats.org/drawingml/2006/picture">
            <wp:extent cx="5029200" cy="3388093"/>
            <wp:docPr id="21" name="Picture 21"/>
            <wp:cNvGraphicFramePr>
              <a:graphicFrameLocks noChangeAspect="1"/>
            </wp:cNvGraphicFramePr>
            <a:graphic>
              <a:graphicData uri="http://schemas.openxmlformats.org/drawingml/2006/picture">
                <pic:pic>
                  <pic:nvPicPr>
                    <pic:cNvPr id="0" name="hipaa_coverage_results.png"/>
                    <pic:cNvPicPr/>
                  </pic:nvPicPr>
                  <pic:blipFill>
                    <a:blip r:embed="rId33"/>
                    <a:stretch>
                      <a:fillRect/>
                    </a:stretch>
                  </pic:blipFill>
                  <pic:spPr>
                    <a:xfrm>
                      <a:off x="0" y="0"/>
                      <a:ext cx="5029200" cy="3388093"/>
                    </a:xfrm>
                    <a:prstGeom prst="rect"/>
                  </pic:spPr>
                </pic:pic>
              </a:graphicData>
            </a:graphic>
          </wp:inline>
        </w:drawing>
      </w:r>
    </w:p>
    <w:p>
      <w:pPr>
        <w:spacing w:before="120" w:after="240"/>
        <w:jc w:val="center"/>
      </w:pPr>
      <w:r>
        <w:rPr>
          <w:rFonts w:ascii="Times New Roman" w:hAnsi="Times New Roman"/>
          <w:b/>
          <w:i/>
          <w:color w:val="000000"/>
          <w:sz w:val="20"/>
        </w:rPr>
        <w:t>Fig. 8.18   HIPAA coverage reports</w:t>
      </w:r>
    </w:p>
    <w:p>
      <w:pPr>
        <w:jc w:val="center"/>
      </w:pPr>
      <w:r>
        <w:drawing>
          <wp:inline xmlns:a="http://schemas.openxmlformats.org/drawingml/2006/main" xmlns:pic="http://schemas.openxmlformats.org/drawingml/2006/picture">
            <wp:extent cx="5029200" cy="2371665"/>
            <wp:docPr id="22" name="Picture 22"/>
            <wp:cNvGraphicFramePr>
              <a:graphicFrameLocks noChangeAspect="1"/>
            </wp:cNvGraphicFramePr>
            <a:graphic>
              <a:graphicData uri="http://schemas.openxmlformats.org/drawingml/2006/picture">
                <pic:pic>
                  <pic:nvPicPr>
                    <pic:cNvPr id="0" name="accuracy_scorer_results.png"/>
                    <pic:cNvPicPr/>
                  </pic:nvPicPr>
                  <pic:blipFill>
                    <a:blip r:embed="rId34"/>
                    <a:stretch>
                      <a:fillRect/>
                    </a:stretch>
                  </pic:blipFill>
                  <pic:spPr>
                    <a:xfrm>
                      <a:off x="0" y="0"/>
                      <a:ext cx="5029200" cy="2371665"/>
                    </a:xfrm>
                    <a:prstGeom prst="rect"/>
                  </pic:spPr>
                </pic:pic>
              </a:graphicData>
            </a:graphic>
          </wp:inline>
        </w:drawing>
      </w:r>
    </w:p>
    <w:p>
      <w:pPr>
        <w:spacing w:before="120" w:after="240"/>
        <w:jc w:val="center"/>
      </w:pPr>
      <w:r>
        <w:rPr>
          <w:rFonts w:ascii="Times New Roman" w:hAnsi="Times New Roman"/>
          <w:b/>
          <w:i/>
          <w:color w:val="000000"/>
          <w:sz w:val="20"/>
        </w:rPr>
        <w:t>Fig. 8.19   Accuracy scorer summary</w:t>
      </w:r>
    </w:p>
    <w:p>
      <w:r>
        <w:br w:type="page"/>
      </w:r>
    </w:p>
    <w:p>
      <w:pPr>
        <w:spacing w:before="240" w:after="240"/>
        <w:jc w:val="left"/>
      </w:pPr>
      <w:r>
        <w:rPr>
          <w:rFonts w:ascii="Times New Roman" w:hAnsi="Times New Roman"/>
          <w:b/>
          <w:i w:val="0"/>
          <w:color w:val="000000"/>
          <w:sz w:val="32"/>
        </w:rPr>
        <w:t>CHAPTER 9 — SECURITY, PRIVACY, AND LIMITATIONS OF THE PROJECT</w:t>
      </w:r>
    </w:p>
    <w:p>
      <w:pPr>
        <w:spacing w:line="360" w:lineRule="auto" w:after="240"/>
        <w:jc w:val="both"/>
      </w:pPr>
      <w:r>
        <w:rPr>
          <w:rFonts w:ascii="Times New Roman" w:hAnsi="Times New Roman"/>
          <w:b w:val="0"/>
          <w:i w:val="0"/>
          <w:color w:val="000000"/>
          <w:sz w:val="24"/>
        </w:rPr>
        <w:t>9.1   TECHNICAL LIMITATIONS</w:t>
        <w:br/>
        <w:t>The system has some technical limitations: Presidio NLP model inference adds latency (~800ms) compared to regex rules (~1ms). The parser also operates line-by-line, lacking multi-paragraph context awareness.</w:t>
      </w:r>
    </w:p>
    <w:p>
      <w:pPr>
        <w:spacing w:line="360" w:lineRule="auto" w:after="240"/>
        <w:jc w:val="both"/>
      </w:pPr>
      <w:r>
        <w:rPr>
          <w:rFonts w:ascii="Times New Roman" w:hAnsi="Times New Roman"/>
          <w:b w:val="0"/>
          <w:i w:val="0"/>
          <w:color w:val="000000"/>
          <w:sz w:val="24"/>
        </w:rPr>
        <w:t>9.2   SYSTEM AND SCALABILITY LIMITATIONS</w:t>
        <w:br/>
        <w:t>The in-memory rate limiter is not synchronized across multiple workers, and Redis database connections lack cluster replication setups.</w:t>
      </w:r>
    </w:p>
    <w:p>
      <w:pPr>
        <w:spacing w:line="360" w:lineRule="auto" w:after="240"/>
        <w:jc w:val="both"/>
      </w:pPr>
      <w:r>
        <w:rPr>
          <w:rFonts w:ascii="Times New Roman" w:hAnsi="Times New Roman"/>
          <w:b w:val="0"/>
          <w:i w:val="0"/>
          <w:color w:val="000000"/>
          <w:sz w:val="24"/>
        </w:rPr>
        <w:t>9.3   SECURITY LIMITATIONS</w:t>
        <w:br/>
        <w:t>The prototype includes client-side simulated login and role-based interface behavior. Server-side authentication and authorization enforcement are outside the current implementation scope and remain an important future enhancement.</w:t>
      </w:r>
    </w:p>
    <w:p>
      <w:pPr>
        <w:spacing w:line="360" w:lineRule="auto" w:after="240"/>
        <w:jc w:val="both"/>
      </w:pPr>
      <w:r>
        <w:rPr>
          <w:rFonts w:ascii="Times New Roman" w:hAnsi="Times New Roman"/>
          <w:b w:val="0"/>
          <w:i w:val="0"/>
          <w:color w:val="000000"/>
          <w:sz w:val="24"/>
        </w:rPr>
        <w:t>9.4   COMPLIANCE LIMITATIONS</w:t>
        <w:br/>
        <w:t>The system is not officially certified by regulatory bodies. It is designed to map implemented detection patterns to selected HIPAA Safe Harbor identifier categories, supporting privacy-preserving handling of sensitive healthcare text.</w:t>
      </w:r>
    </w:p>
    <w:p>
      <w:r>
        <w:br w:type="page"/>
      </w:r>
    </w:p>
    <w:p>
      <w:pPr>
        <w:spacing w:before="240" w:after="240"/>
        <w:jc w:val="left"/>
      </w:pPr>
      <w:r>
        <w:rPr>
          <w:rFonts w:ascii="Times New Roman" w:hAnsi="Times New Roman"/>
          <w:b/>
          <w:i w:val="0"/>
          <w:color w:val="000000"/>
          <w:sz w:val="32"/>
        </w:rPr>
        <w:t>CHAPTER 10 — FUTURE ENHANCEMENTS</w:t>
      </w:r>
    </w:p>
    <w:p>
      <w:pPr>
        <w:spacing w:line="360" w:lineRule="auto" w:after="240"/>
        <w:jc w:val="both"/>
      </w:pPr>
      <w:r>
        <w:rPr>
          <w:rFonts w:ascii="Times New Roman" w:hAnsi="Times New Roman"/>
          <w:b w:val="0"/>
          <w:i w:val="0"/>
          <w:color w:val="000000"/>
          <w:sz w:val="24"/>
        </w:rPr>
        <w:t>10.1   MODEL OPTIMIZATIONS</w:t>
        <w:br/>
        <w:t>Future enhancements include integrating transformer-based NLP models (like Clinical-BERT) to improve NER recall and reduce name detection false negatives.</w:t>
      </w:r>
    </w:p>
    <w:p>
      <w:pPr>
        <w:spacing w:line="360" w:lineRule="auto" w:after="240"/>
        <w:jc w:val="both"/>
      </w:pPr>
      <w:r>
        <w:rPr>
          <w:rFonts w:ascii="Times New Roman" w:hAnsi="Times New Roman"/>
          <w:b w:val="0"/>
          <w:i w:val="0"/>
          <w:color w:val="000000"/>
          <w:sz w:val="24"/>
        </w:rPr>
        <w:t>10.2   REGULATORY COMPLIANCE ROADMAP</w:t>
        <w:br/>
        <w:t>We plan to enforce server-side JWT authentication, transition rate-limiting configurations to Redis sliding windows, and configure persistent secure database stores for the transaction logger.</w:t>
      </w:r>
    </w:p>
    <w:p>
      <w:r>
        <w:br w:type="page"/>
      </w:r>
    </w:p>
    <w:p>
      <w:pPr>
        <w:jc w:val="center"/>
      </w:pPr>
      <w:r>
        <w:rPr>
          <w:rFonts w:ascii="Times New Roman" w:hAnsi="Times New Roman"/>
          <w:b/>
          <w:i w:val="0"/>
          <w:color w:val="000000"/>
          <w:sz w:val="32"/>
        </w:rPr>
        <w:t>CONCLUSION</w:t>
        <w:br/>
        <w:br/>
      </w:r>
    </w:p>
    <w:p>
      <w:pPr>
        <w:spacing w:line="360" w:lineRule="auto" w:after="240"/>
        <w:jc w:val="both"/>
      </w:pPr>
      <w:r>
        <w:rPr>
          <w:rFonts w:ascii="Times New Roman" w:hAnsi="Times New Roman"/>
          <w:b w:val="0"/>
          <w:i w:val="0"/>
          <w:color w:val="000000"/>
          <w:sz w:val="24"/>
        </w:rPr>
        <w:t>The project team successfully designed and implemented an automated PHI/PII redaction pipeline acting as a secure clinical EHR gateway proxy. The system meets its core objectives: integrating parallel regex rules and Presidio NLP, resolving nested matches, and caching session keys using AES-128 Fernet encryption in Redis. Local validation checks confirm its accuracy, and the system represents a solid step toward secure clinical decision support using Large Language Models.</w:t>
      </w:r>
    </w:p>
    <w:p>
      <w:r>
        <w:br w:type="page"/>
      </w:r>
    </w:p>
    <w:p>
      <w:pPr>
        <w:jc w:val="center"/>
      </w:pPr>
      <w:r>
        <w:rPr>
          <w:rFonts w:ascii="Times New Roman" w:hAnsi="Times New Roman"/>
          <w:b/>
          <w:i w:val="0"/>
          <w:color w:val="000000"/>
          <w:sz w:val="32"/>
        </w:rPr>
        <w:t>REFERENCES</w:t>
        <w:br/>
        <w:br/>
      </w:r>
    </w:p>
    <w:p>
      <w:pPr>
        <w:spacing w:line="360" w:lineRule="auto" w:after="120"/>
        <w:jc w:val="both"/>
      </w:pPr>
      <w:r>
        <w:rPr>
          <w:rFonts w:ascii="Times New Roman" w:hAnsi="Times New Roman"/>
          <w:b w:val="0"/>
          <w:i w:val="0"/>
          <w:color w:val="000000"/>
          <w:sz w:val="22"/>
        </w:rPr>
        <w:t xml:space="preserve">[1] Microsoft Presidio Documentation, "Microsoft Presidio De-identification API Framework", </w:t>
      </w:r>
      <w:hyperlink r:id="rId35">
        <w:r>
          <w:rPr>
            <w:color w:val="0000FF"/>
            <w:u w:val="single"/>
          </w:rPr>
          <w:t>https://microsoft.github.io/presidio/</w:t>
        </w:r>
      </w:hyperlink>
      <w:r>
        <w:br/>
        <w:br/>
      </w:r>
      <w:r>
        <w:rPr>
          <w:rFonts w:ascii="Times New Roman" w:hAnsi="Times New Roman"/>
          <w:b w:val="0"/>
          <w:i w:val="0"/>
          <w:color w:val="000000"/>
          <w:sz w:val="22"/>
        </w:rPr>
        <w:t xml:space="preserve">[2] U.S. Department of Health and Human Services (HHS), "HIPAA Safe Harbor De-identification Standards and Guidelines", </w:t>
      </w:r>
      <w:hyperlink r:id="rId36">
        <w:r>
          <w:rPr>
            <w:color w:val="0000FF"/>
            <w:u w:val="single"/>
          </w:rPr>
          <w:t>https://www.hhs.gov/hipaa/</w:t>
        </w:r>
      </w:hyperlink>
      <w:r>
        <w:br/>
        <w:br/>
      </w:r>
      <w:r>
        <w:rPr>
          <w:rFonts w:ascii="Times New Roman" w:hAnsi="Times New Roman"/>
          <w:b w:val="0"/>
          <w:i w:val="0"/>
          <w:color w:val="000000"/>
          <w:sz w:val="22"/>
        </w:rPr>
        <w:t xml:space="preserve">[3] Flask Development Group, "Flask Web Application Micro-Framework for Python", </w:t>
      </w:r>
      <w:hyperlink r:id="rId37">
        <w:r>
          <w:rPr>
            <w:color w:val="0000FF"/>
            <w:u w:val="single"/>
          </w:rPr>
          <w:t>https://flask.palletsprojects.com/</w:t>
        </w:r>
      </w:hyperlink>
      <w:r>
        <w:br/>
        <w:br/>
      </w:r>
      <w:r>
        <w:rPr>
          <w:rFonts w:ascii="Times New Roman" w:hAnsi="Times New Roman"/>
          <w:b w:val="0"/>
          <w:i w:val="0"/>
          <w:color w:val="000000"/>
          <w:sz w:val="22"/>
        </w:rPr>
        <w:t xml:space="preserve">[4] Redis Documentation, "Redis High-Performance In-Memory Key-Value Caching Store", </w:t>
      </w:r>
      <w:hyperlink r:id="rId38">
        <w:r>
          <w:rPr>
            <w:color w:val="0000FF"/>
            <w:u w:val="single"/>
          </w:rPr>
          <w:t>https://redis.io/documentation</w:t>
        </w:r>
      </w:hyperlink>
      <w:r>
        <w:br/>
        <w:br/>
      </w:r>
      <w:r>
        <w:rPr>
          <w:rFonts w:ascii="Times New Roman" w:hAnsi="Times New Roman"/>
          <w:b w:val="0"/>
          <w:i w:val="0"/>
          <w:color w:val="000000"/>
          <w:sz w:val="22"/>
        </w:rPr>
        <w:t xml:space="preserve">[5] Cryptography Library Team, "Fernet Symmetric Key Cryptography Encryption Specifications", </w:t>
      </w:r>
      <w:hyperlink r:id="rId39">
        <w:r>
          <w:rPr>
            <w:color w:val="0000FF"/>
            <w:u w:val="single"/>
          </w:rPr>
          <w:t>https://cryptography.io/</w:t>
        </w:r>
      </w:hyperlink>
      <w:r>
        <w:br/>
        <w:br/>
      </w:r>
      <w:r>
        <w:rPr>
          <w:rFonts w:ascii="Times New Roman" w:hAnsi="Times New Roman"/>
          <w:b w:val="0"/>
          <w:i w:val="0"/>
          <w:color w:val="000000"/>
          <w:sz w:val="22"/>
        </w:rPr>
        <w:t xml:space="preserve">[6] spaCy Documentation, "spaCy Named Entity Recognition and Language Parser Models", </w:t>
      </w:r>
      <w:hyperlink r:id="rId40">
        <w:r>
          <w:rPr>
            <w:color w:val="0000FF"/>
            <w:u w:val="single"/>
          </w:rPr>
          <w:t>https://spacy.io/</w:t>
        </w:r>
      </w:hyperlink>
      <w:r>
        <w:br/>
        <w:br/>
      </w:r>
      <w:r>
        <w:rPr>
          <w:rFonts w:ascii="Times New Roman" w:hAnsi="Times New Roman"/>
          <w:b w:val="0"/>
          <w:i w:val="0"/>
          <w:color w:val="000000"/>
          <w:sz w:val="22"/>
        </w:rPr>
        <w:t xml:space="preserve">[7] OWASP Foundation, "OWASP API Security Top 10 Vulnerabilities and Mitigation Standards", </w:t>
      </w:r>
      <w:hyperlink r:id="rId41">
        <w:r>
          <w:rPr>
            <w:color w:val="0000FF"/>
            <w:u w:val="single"/>
          </w:rPr>
          <w:t>https://owasp.org/</w:t>
        </w:r>
      </w:hyperlink>
    </w:p>
    <w:sectPr w:rsidR="00FC693F" w:rsidRPr="0006063C" w:rsidSect="00034616">
      <w:headerReference w:type="default" r:id="rId11"/>
      <w:footerReference w:type="default" r:id="rId12"/>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0"/>
      </w:rPr>
      <w:t xml:space="preserve">DEPSTAR                                              </w:t>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 xml:space="preserve">                                              Department of Computer Engineering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val="0"/>
        <w:color w:val="000000"/>
        <w:sz w:val="20"/>
      </w:rPr>
      <w:t xml:space="preserve">DEPSTAR                                              </w:t>
    </w:r>
    <w:r>
      <w:rPr>
        <w:rFonts w:ascii="Times New Roman" w:hAnsi="Times New Roman"/>
        <w:b w:val="0"/>
        <w:i w:val="0"/>
        <w:color w:val="000000"/>
        <w:sz w:val="20"/>
      </w:rPr>
      <w:fldChar w:fldCharType="begin"/>
      <w:instrText xml:space="preserve">PAGE</w:instrText>
      <w:fldChar w:fldCharType="separate"/>
      <w:fldChar w:fldCharType="end"/>
    </w:r>
    <w:r>
      <w:rPr>
        <w:rFonts w:ascii="Times New Roman" w:hAnsi="Times New Roman"/>
        <w:b w:val="0"/>
        <w:i w:val="0"/>
        <w:color w:val="000000"/>
        <w:sz w:val="20"/>
      </w:rPr>
      <w:t xml:space="preserve">                                              Department of Computer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val="0"/>
        <w:color w:val="646464"/>
        <w:sz w:val="19"/>
      </w:rPr>
      <w:t>24DCS076                                                                               FRONT MATTER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val="0"/>
        <w:color w:val="646464"/>
        <w:sz w:val="19"/>
      </w:rPr>
      <w:t>24DCS076                                                                               CHAPTER 10 — FUTURE ENHANCEMENTS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hyperlink" Target="https://microsoft.github.io/presidio/" TargetMode="External"/><Relationship Id="rId36" Type="http://schemas.openxmlformats.org/officeDocument/2006/relationships/hyperlink" Target="https://www.hhs.gov/hipaa/" TargetMode="External"/><Relationship Id="rId37" Type="http://schemas.openxmlformats.org/officeDocument/2006/relationships/hyperlink" Target="https://flask.palletsprojects.com/" TargetMode="External"/><Relationship Id="rId38" Type="http://schemas.openxmlformats.org/officeDocument/2006/relationships/hyperlink" Target="https://redis.io/documentation" TargetMode="External"/><Relationship Id="rId39" Type="http://schemas.openxmlformats.org/officeDocument/2006/relationships/hyperlink" Target="https://cryptography.io/" TargetMode="External"/><Relationship Id="rId40" Type="http://schemas.openxmlformats.org/officeDocument/2006/relationships/hyperlink" Target="https://spacy.io/" TargetMode="External"/><Relationship Id="rId41" Type="http://schemas.openxmlformats.org/officeDocument/2006/relationships/hyperlink" Target="http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