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License Kit 框架功能与接入手册</w:t>
      </w:r>
    </w:p>
    <w:p>
      <w:r>
        <w:t>更新日期：2026 年 10 月 31 日 CST。适用代码：0.4.0，包含设备自助重置、订单有效期与迁移 5。已发布 Git 标签 v0.4.0，未发布 npm 包。</w:t>
      </w:r>
    </w:p>
    <w:p>
      <w:r>
        <w:t>本手册面向接入产品的开发者与维护者，说明框架负责的业务、外部系统应完成的验证，以及上线前仍需补齐的能力。当前框架已实现账号、永久权益、订单、设备绑定、许可证与分发记录；具体网站、Bot 菜单、工单及真实安装包由产品层实现。</w:t>
      </w:r>
    </w:p>
    <w:p>
      <w:pPr>
        <w:pStyle w:val="Heading1"/>
      </w:pPr>
      <w:r>
        <w:t>1 架构与复用边界</w:t>
      </w:r>
    </w:p>
    <w:p>
      <w:r>
        <w:t>产品网页、社区 Bot 和原生客户端通过产品后端进入框架。框架以 TypeScript 库提供事务化用例，也附带独立 HTTP 参考服务。Node.js 24 与内置 SQLite 是当前运行基础；SQLite 仓储直接参与业务事务，替换 PostgreSQL 需要代码与迁移改造。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402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主要职责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代码位置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核心策略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类型、自然月规则、签名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src/core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业务服务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账号、订单、权益、设备、分发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src/service.ts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适配器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SQLite、身份验证、通知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src/adapters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HTTP 边界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输入校验、会话、管理认证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src/http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客户端参考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挑战签名与许可证验签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src/sdk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运维工具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初始化、私有权限、备份与轮换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src/cli</w:t>
            </w:r>
          </w:p>
        </w:tc>
      </w:tr>
    </w:tbl>
    <w:p>
      <w:pPr>
        <w:spacing w:after="0" w:line="80" w:lineRule="exact"/>
      </w:pPr>
    </w:p>
    <w:p>
      <w:r>
        <w:t>产品名称、收费版本、商品价格和设备组来自部署目录配置。身份适配器返回已经验证的稳定平台身份；核心不信任客户端自报的用户 ID、角色或付款结果。框架没有附带客户数据、真实支付账户或产品专属 Windows 代码。</w:t>
      </w:r>
    </w:p>
    <w:p>
      <w:r>
        <w:t>源码采用仓库 LICENSE 所载 PolyForm Noncommercial 1.0.0，并允许按贡献条款提交 PR。公开可读不等于第三方可任意商用。许可与贡献要求以 LICENSE、CONTRIBUTING.md 和 CONTRIBUTOR_AGREEMENT.md 原文为准。</w:t>
      </w:r>
    </w:p>
    <w:p>
      <w:r>
        <w:br w:type="page"/>
      </w:r>
    </w:p>
    <w:p>
      <w:pPr>
        <w:pStyle w:val="Heading1"/>
      </w:pPr>
      <w:r>
        <w:t>2 账号与版本权益</w:t>
      </w:r>
    </w:p>
    <w:p>
      <w:r>
        <w:t>内部 accountId 与外部身份的 provider、subject 分开保存。外部身份组合唯一，昵称不作身份依据。注册使用绑定该身份的一次性邀请，同时核实身份凭据；注册本身不授予付费权益。参考 HTTP 登录使用身份适配器，具体产品可以在受控后端另接密码与 MFA。</w:t>
      </w:r>
    </w:p>
    <w:p>
      <w:r>
        <w:t>产品、收费版本和软件构建分别用 product、edition、releaseId 表示。一个账号可以同时拥有多个永久版本。升级新增目标版本权益，保留旧版本；不自动赠送中间版本。</w:t>
      </w:r>
    </w:p>
    <w:p>
      <w:pPr>
        <w:pStyle w:val="Heading2"/>
      </w:pPr>
      <w:r>
        <w:t>历史授权认领</w:t>
      </w:r>
    </w:p>
    <w:p>
      <w:r>
        <w:t xml:space="preserve">宿主先向可信平台核实购买凭证，再调用 </w:t>
      </w:r>
      <w:r>
        <w:rPr>
          <w:rFonts w:ascii="Consolas" w:hAnsi="Consolas"/>
          <w:sz w:val="18"/>
        </w:rPr>
        <w:t>importEntitlement</w:t>
      </w:r>
      <w:r>
        <w:t>。输入包含 source、reference、reason 和可选 betaAccess。reference 应稳定标识凭证来源，同一来源、凭证、版本不能被另一账号再次认领。</w:t>
      </w:r>
    </w:p>
    <w:p>
      <w:r>
        <w:t>认领没有真实付款时不生成订单，授权的 order_id 可以为空。已有付费来源不会被覆盖；已撤销权益不会被认领恢复；重复核实保持幂等。平台角色移除不自动撤销已确认的永久授权。框架不公开用户自报身份组的认领接口。</w:t>
      </w:r>
    </w:p>
    <w:p>
      <w:pPr>
        <w:pStyle w:val="Heading2"/>
      </w:pPr>
      <w:r>
        <w:t>普通版与 Beta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608"/>
        <w:gridCol w:w="2608"/>
        <w:gridCol w:w="2608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已核实资格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同版本普通版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同版本 Beta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新收费版本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普通版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可用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不包含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不包含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Beta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可用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可用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不包含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升级购买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保留原版本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保留原资格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仅新增目标普通权益</w:t>
            </w:r>
          </w:p>
        </w:tc>
      </w:tr>
    </w:tbl>
    <w:p>
      <w:pPr>
        <w:spacing w:after="0" w:line="80" w:lineRule="exact"/>
      </w:pPr>
    </w:p>
    <w:p>
      <w:r>
        <w:rPr>
          <w:rFonts w:ascii="Consolas" w:hAnsi="Consolas"/>
          <w:sz w:val="18"/>
        </w:rPr>
        <w:t>hasReleaseAccess</w:t>
      </w:r>
      <w:r>
        <w:t xml:space="preserve"> 检查账号状态、有效版本权益和同版渠道资格。实际下载服务必须调用渠道鉴权；当前设备许可证不携带 Beta 条件，不能把发布说明过滤当作完整客户端渠道保护。</w:t>
      </w:r>
    </w:p>
    <w:p>
      <w:r>
        <w:rPr>
          <w:rFonts w:ascii="Consolas" w:hAnsi="Consolas"/>
          <w:sz w:val="18"/>
        </w:rPr>
        <w:t>bestUpgradeOffer</w:t>
      </w:r>
      <w:r>
        <w:t xml:space="preserve"> 从账号有效旧版权益对应的固定升级商品中选择最低金额，同价按商品 ID 排序，不混合比较不同币种。历史实付额不参与计算。已拥有目标版、没有升级资格或币种混杂会被拒绝。</w:t>
      </w:r>
    </w:p>
    <w:p>
      <w:r>
        <w:br w:type="page"/>
      </w:r>
    </w:p>
    <w:p>
      <w:pPr>
        <w:pStyle w:val="Heading1"/>
      </w:pPr>
      <w:r>
        <w:t>3 订单与设备规则</w:t>
      </w:r>
    </w:p>
    <w:p>
      <w:r>
        <w:t>新订单默认 24 小时有效，宿主可通过 orderTtlSeconds 配置 60 秒至 30 天。升级前的待付款订单从首次升级时获得完整宽限期。order_deadlines 使用独立附表，保留现有订单和外键结构。即使定时任务尚未执行，查询和确认付款仍即时检查有效期。</w:t>
      </w:r>
    </w:p>
    <w:p>
      <w:r>
        <w:t>过期订单显示 expired，清理后底层状态为 cancelled 并保留过期原因和审计。人工取消与自动过期分开处理；人工取消不可重新发放。过期后确实到账，管理员须核实金额、币种和唯一流水并提供 latePaymentReason 后才能发放，原资格检查依旧有效。无法发放或金额不符须人工退款/协商，系统不会伪造退款结果。</w:t>
      </w:r>
    </w:p>
    <w:p>
      <w:r>
        <w:t>订单保存商品和价格快照，金额为最小货币单位整数。调价只影响之后创建的订单。人工核实须依据真实收款记录，提交渠道、交易流水、金额和币种；付款截图、客户端提示和跳转成功均不是支付凭证。</w:t>
      </w:r>
    </w:p>
    <w:p>
      <w:r>
        <w:t>订单确认、权益或额度发放、审计和通知事件在事务中完成。渠道与流水号唯一，重复确认同一交易不重复发放；不同交易确认已支付订单产生冲突。两笔订单重复购买同一版本时，不重复授予权益，多付金额需要运营处理。当前没有退款和自动对账实现。</w:t>
      </w:r>
    </w:p>
    <w:p>
      <w:pPr>
        <w:pStyle w:val="Heading2"/>
      </w:pPr>
      <w:r>
        <w:t>设备组与换绑</w:t>
      </w:r>
    </w:p>
    <w:p>
      <w:r>
        <w:t>每个账号在每个设备组只保留一台有效设备。同组产品共享设备、冷却与额外额度；不同组独立。硬件摘要只作关联信息，激活必须验证设备 Ed25519 私钥持有证明。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402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设备和额度结果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冷却结果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首次激活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建立绑定，不扣额度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开始配置的自然月冷却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免费资格成熟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可免费换绑，不累计次数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未使用则一直有效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成功换绑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免费优先，否则扣一次额度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重新开始冷却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确认设备重置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免费优先，否则扣一次；旧设备停止续期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从重置时重新开始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重置后首次绑定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已处理额度，不再次扣除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保留重置时的冷却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购买或赠送次数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仅增加额度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不重置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相同设备密钥重验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不算换绑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保留原时间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激活失败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不消耗额度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不改变</w:t>
            </w:r>
          </w:p>
        </w:tc>
      </w:tr>
    </w:tbl>
    <w:p>
      <w:pPr>
        <w:spacing w:after="0" w:line="80" w:lineRule="exact"/>
      </w:pPr>
    </w:p>
    <w:p>
      <w:r>
        <w:t>月份按配置的固定 UTC 偏移计算，保留时分秒并将月末夹取为目标月有效日期。产品可设置三个月与 UTC+8；例如 1 月 31 日首次激活，4 月 30 日免费资格成熟。此规则不是固定 90 天，也没有领取期限。</w:t>
      </w:r>
    </w:p>
    <w:p>
      <w:r>
        <w:t>自助重置须核对当前绑定代次和本次费用，重复请求不重复扣减；未绑定或正在等待重新绑定时不可再次重置。旧挑战失效，已有离线许可证仍可持续至原到期时间。设备公钥丢失不能仅凭相同 HWID 自动恢复。换绑、额度扣减、挑战消费与审计在同一事务提交，失败回滚；需要重试的命令使用幂等键。</w:t>
      </w:r>
    </w:p>
    <w:p>
      <w:pPr>
        <w:pStyle w:val="Heading1"/>
      </w:pPr>
      <w:r>
        <w:t>4 接口与数据关系</w:t>
      </w:r>
    </w:p>
    <w:p>
      <w:r>
        <w:t xml:space="preserve">参考服务默认监听 127.0.0.1:3100。普通 API 使用用户 Bearer 会话，管理 API 使用独立部署密钥；两种凭据不能互相替代。参考服务不接受浏览器 Origin，不使用 Cookie；网页应经自己的同源后端接入。完整参数与错误见 </w:t>
      </w:r>
      <w:hyperlink r:id="rId9">
        <w:r>
          <w:t>API 契约</w:t>
        </w:r>
      </w:hyperlink>
      <w: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402"/>
        <w:gridCol w:w="476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接口分组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典型入口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负责结果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身份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/v1/auth/register 与 login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注册、会话与注销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用户业务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/v1/me 与 /v1/orders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自己的权益、设备与订单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激活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/v1/devices/challenges 与 activate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账号批准下的设备绑定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许可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/v1/licenses/challenges 与 issue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设备证明后签发短期许可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管理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/v1/admin/accounts 与 orders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启停、身份维护、额度、到账确认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分发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/v1/admin/distributions</w:t>
            </w:r>
          </w:p>
        </w:tc>
        <w:tc>
          <w:tcPr>
            <w:tcW w:type="dxa" w:w="476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预留编号、登记最终哈希与清单</w:t>
            </w:r>
          </w:p>
        </w:tc>
      </w:tr>
    </w:tbl>
    <w:p>
      <w:pPr>
        <w:spacing w:after="0" w:line="80" w:lineRule="exact"/>
      </w:pPr>
    </w:p>
    <w:p>
      <w:r>
        <w:t>历史认领、渠道检查、最低升级商品选择是宿主服务方法，不是上述参考 HTTP 服务新增的公开路由。产品层应先鉴权并核实证据，再调用这些方法。</w:t>
      </w:r>
    </w:p>
    <w:p>
      <w:pPr>
        <w:pStyle w:val="Heading2"/>
      </w:pPr>
      <w:r>
        <w:t>数据与迁移</w:t>
      </w:r>
    </w:p>
    <w:p>
      <w:r>
        <w:t>accounts 保存稳定账号；entitlements 保存永久权益；orders 保存订单；bindings 与 credits 保存设备组状态和额度。entitlement_imports 保存历史凭证归属，entitlement_channels 保存按版本的 Beta 资格。分发记录保留生成当时的身份快照，后续修改账号关联不改写历史。</w:t>
      </w:r>
    </w:p>
    <w:p>
      <w:r>
        <w:t>迁移 2 引入账号状态和迁移记录；迁移 3 将权益 order_id 改为可空并增加来源及渠道表，保留已有付款授权。升级前备份，降级应恢复与旧代码匹配的备份，不能只切换旧二进制。</w:t>
      </w:r>
    </w:p>
    <w:p>
      <w:r>
        <w:t>嵌套事务使用 savepoint，宿主可以将产品会话撤销与核心状态变更放在同一事务。账号启停与可选 accountEnabled 策略作用于核心授权路径及幂等重放，不能只依赖网页隐藏按钮。</w:t>
      </w:r>
    </w:p>
    <w:p>
      <w:r>
        <w:br w:type="page"/>
      </w:r>
    </w:p>
    <w:p>
      <w:pPr>
        <w:pStyle w:val="Heading1"/>
      </w:pPr>
      <w:r>
        <w:t>5 许可分发与安全边界</w:t>
      </w:r>
    </w:p>
    <w:p>
      <w:r>
        <w:t>服务器与设备分别持有独立 Ed25519 密钥。许可证默认有效 15 分钟，包含账号、产品、收费版本、设备、公钥指纹、绑定代次和有效期；客户端必须同时核实签名与预期范围。验签公钥需由可信发布渠道预置或更新，不能信任任意响应携带的新公钥。</w:t>
      </w:r>
    </w:p>
    <w:p>
      <w:r>
        <w:t>数据库永久权益与短期许可证是不同对象。换绑或停用后旧设备不能刷新，但已经签发的离线许可证可能用到到期。本框架不能保证客户端不可修改、HWID 不可伪造或离线立即撤销。</w:t>
      </w:r>
    </w:p>
    <w:p>
      <w:pPr>
        <w:pStyle w:val="Heading2"/>
      </w:pPr>
      <w:r>
        <w:t>用户专属文件的接入顺序</w:t>
      </w:r>
    </w:p>
    <w:p>
      <w:r>
        <w:t>1. 宿主鉴权并选择收费版本、软件构建与渠道，预留分发编号。</w:t>
      </w:r>
    </w:p>
    <w:p>
      <w:r>
        <w:t>2. 文件 worker 在可信基础产物中加入随机追踪标识，不写入长期登录凭据。</w:t>
      </w:r>
    </w:p>
    <w:p>
      <w:r>
        <w:t>3. 完成产品格式校验和平台签名，计算最终 SHA-256。</w:t>
      </w:r>
    </w:p>
    <w:p>
      <w:r>
        <w:t>4. 框架确认不可变的文件哈希与签名分发清单，文件进入私有存储。</w:t>
      </w:r>
    </w:p>
    <w:p>
      <w:r>
        <w:t>5. 下载服务再次核实当前权益与渠道，再签发短时下载地址。</w:t>
      </w:r>
    </w:p>
    <w:p>
      <w:r>
        <w:t>框架目前提供记录、签名清单和 Node 验证参考；示例仅生成带标记的 JavaScript 文件。它没有实现 EXE 水印、安装包工厂、Authenticode 签名、对象存储或真实下载网关。追踪标识是调查线索，不能单凭它认定用户泄露。</w:t>
      </w:r>
    </w:p>
    <w:p>
      <w:pPr>
        <w:pStyle w:val="Heading2"/>
      </w:pPr>
      <w:r>
        <w:t>通知与运维</w:t>
      </w:r>
    </w:p>
    <w:p>
      <w:r>
        <w:t>outbox 与业务同事务写入。参考 dispatcher 是单 worker、至少一次投递，重试可能重复通知；生产宿主负责调度、退避、事件去重和告警。通知失败不回滚已确认的权益。</w:t>
      </w:r>
    </w:p>
    <w:p>
      <w:r>
        <w:t>私有文件保护、单进程锁、限并发 scrypt、可信代理限制、账号停用、加密备份恢复和签名密钥轮换已有实现。管理界面仍需产品提供 MFA 与具名操作员权限，根管理密钥不得进入浏览器、客户端或 Bot 消息。</w:t>
      </w:r>
    </w:p>
    <w:p>
      <w:r>
        <w:br w:type="page"/>
      </w:r>
    </w:p>
    <w:p>
      <w:pPr>
        <w:pStyle w:val="Heading1"/>
      </w:pPr>
      <w:r>
        <w:t>6 运行维护与交付状态</w:t>
      </w:r>
    </w:p>
    <w:p>
      <w:r>
        <w:t xml:space="preserve">使用 Node.js 24.19.0 或更新的 24.x、pnpm 11.25.0。先安装锁定依赖并运行 </w:t>
      </w:r>
      <w:r>
        <w:rPr>
          <w:rFonts w:ascii="Consolas" w:hAnsi="Consolas"/>
          <w:sz w:val="18"/>
        </w:rPr>
        <w:t>pnpm check</w:t>
      </w:r>
      <w:r>
        <w:t xml:space="preserve">；初次部署构建后运行 </w:t>
      </w:r>
      <w:r>
        <w:rPr>
          <w:rFonts w:ascii="Consolas" w:hAnsi="Consolas"/>
          <w:sz w:val="18"/>
        </w:rPr>
        <w:t>pnpm init:local</w:t>
      </w:r>
      <w:r>
        <w:t xml:space="preserve">，之后使用 </w:t>
      </w:r>
      <w:r>
        <w:rPr>
          <w:rFonts w:ascii="Consolas" w:hAnsi="Consolas"/>
          <w:sz w:val="18"/>
        </w:rPr>
        <w:t>pnpm start</w:t>
      </w:r>
      <w:r>
        <w:t xml:space="preserve">。初始化不覆盖已有配置，生产模式禁止本地开发身份验证器。配置方法见 </w:t>
      </w:r>
      <w:hyperlink r:id="rId10">
        <w:r>
          <w:t>部署维护</w:t>
        </w:r>
      </w:hyperlink>
      <w:r>
        <w:t>。</w:t>
      </w:r>
    </w:p>
    <w:p>
      <w:r>
        <w:t>维护前停止服务。使用受限口令文件执行 backup、restore 或 rotate-signing，口令不写命令行参数。备份采用认证加密，恢复只写新目录。原始文件总量上限为 256 MiB，仍兼容旧备份格式；这是有容量边界的内存实现，大规模制品不得塞进业务备份。核对 schema、目录配置、账号权益、设备冷却和密钥后再切换；不能直接复制正在写入的 SQLite 主文件并忽略 WAL。</w:t>
      </w:r>
    </w:p>
    <w:p>
      <w:pPr>
        <w:pStyle w:val="Heading2"/>
      </w:pPr>
      <w:r>
        <w:t>当前验证</w:t>
      </w:r>
    </w:p>
    <w:p>
      <w:r>
        <w:t>本次新增订单有效期、过期支付复核、迁移 5 与备份容量扩展。本地构建和 57 项测试通过；此前生产依赖审计未报告已知漏洞。GitHub Actions 曾明确因账号计费锁定而未启动；本地成功不代表远端 CI 通过，也不代表完成真实产品支付或硬件验收。</w:t>
      </w:r>
    </w:p>
    <w:p>
      <w:r>
        <w:t>当前代码版本为 0.4.0，Git 标签 v0.4.0 固定该版本的功能提交。Git main 保存集成代码，短期分支通过 PR 合并。收费版本、软件构建版本、分发渠道与 Git 分支相互独立；运行数据库、私钥、环境配置和客户文件不得进入 Git。</w:t>
      </w:r>
    </w:p>
    <w:p>
      <w:pPr>
        <w:pStyle w:val="Heading2"/>
      </w:pPr>
      <w:r>
        <w:t>待接入能力</w:t>
      </w:r>
    </w:p>
    <w:p>
      <w:r>
        <w:t>• 产品网站、管理角色开通和 MFA、社区 Bot 菜单及工单由宿主提供。</w:t>
      </w:r>
    </w:p>
    <w:p>
      <w:r>
        <w:t>• 支付回调、主动查单、退款、真实文件处理、私有下载与原生端安全存储尚需实现。</w:t>
      </w:r>
    </w:p>
    <w:p>
      <w:r>
        <w:t>• 多实例协调、异步 PostgreSQL 仓储、任务租约、分页和生产监控仍需扩展；当前是单节点参考实现。</w:t>
      </w:r>
    </w:p>
    <w:p>
      <w:pPr>
        <w:pStyle w:val="Heading2"/>
      </w:pPr>
      <w:r>
        <w:t>文档维护</w:t>
      </w:r>
    </w:p>
    <w:p>
      <w:hyperlink r:id="rId11">
        <w:r>
          <w:t>架构规则</w:t>
        </w:r>
      </w:hyperlink>
      <w:r>
        <w:t>、</w:t>
      </w:r>
      <w:hyperlink r:id="rId12">
        <w:r>
          <w:t>接入指南</w:t>
        </w:r>
      </w:hyperlink>
      <w:r>
        <w:t>、</w:t>
      </w:r>
      <w:hyperlink r:id="rId13">
        <w:r>
          <w:t>客户端协议</w:t>
        </w:r>
      </w:hyperlink>
      <w:r>
        <w:t>、</w:t>
      </w:r>
      <w:hyperlink r:id="rId14">
        <w:r>
          <w:t>仓库治理</w:t>
        </w:r>
      </w:hyperlink>
      <w:r>
        <w:t xml:space="preserve"> 和 </w:t>
      </w:r>
      <w:hyperlink r:id="rId15">
        <w:r>
          <w:t>演进计划</w:t>
        </w:r>
      </w:hyperlink>
      <w:r>
        <w:t xml:space="preserve"> 提供详细约束。本手册 SYSTEM-GUIDE.md 是 Word 版的内容源，修改后运行仓库 </w:t>
      </w:r>
      <w:r>
        <w:rPr>
          <w:rFonts w:ascii="Consolas" w:hAnsi="Consolas"/>
          <w:sz w:val="18"/>
        </w:rPr>
        <w:t>scripts/export-guide.py</w:t>
      </w:r>
      <w:r>
        <w:t xml:space="preserve"> 重新生成 SYSTEM-GUIDE.docx，并渲染检查后提交两者。Word 版记录 Markdown 内容摘要以检查是否同步。</w:t>
      </w:r>
    </w:p>
    <w:p>
      <w:r>
        <w:t>详细验证与发布状态随代码变更更新；不要把历史记录中的测试数量、旧提交或已完成事项当作当前状态。</w:t>
      </w:r>
    </w:p>
    <w:sectPr w:rsidR="00FC693F" w:rsidRPr="0006063C" w:rsidSect="00034616">
      <w:footerReference w:type="default" r:id="rId1"/>
      <w:pgSz w:w="11906" w:h="16838"/>
      <w:pgMar w:top="1020" w:right="1020" w:bottom="964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footer" Target="footer1.xml"/><Relationship Id="rId9" Type="http://schemas.openxmlformats.org/officeDocument/2006/relationships/hyperlink" Target="https://github.com/MantraChen/product-license-kit/blob/main/docs/API.md" TargetMode="External"/><Relationship Id="rId10" Type="http://schemas.openxmlformats.org/officeDocument/2006/relationships/hyperlink" Target="https://github.com/MantraChen/product-license-kit/blob/main/docs/OPERATIONS.md" TargetMode="External"/><Relationship Id="rId11" Type="http://schemas.openxmlformats.org/officeDocument/2006/relationships/hyperlink" Target="https://github.com/MantraChen/product-license-kit/blob/main/docs/ARCHITECTURE.md" TargetMode="External"/><Relationship Id="rId12" Type="http://schemas.openxmlformats.org/officeDocument/2006/relationships/hyperlink" Target="https://github.com/MantraChen/product-license-kit/blob/main/docs/INTEGRATION.md" TargetMode="External"/><Relationship Id="rId13" Type="http://schemas.openxmlformats.org/officeDocument/2006/relationships/hyperlink" Target="https://github.com/MantraChen/product-license-kit/blob/main/docs/PROTOCOL.md" TargetMode="External"/><Relationship Id="rId14" Type="http://schemas.openxmlformats.org/officeDocument/2006/relationships/hyperlink" Target="https://github.com/MantraChen/product-license-kit/blob/main/docs/REPOSITORY.md" TargetMode="External"/><Relationship Id="rId15" Type="http://schemas.openxmlformats.org/officeDocument/2006/relationships/hyperlink" Target="https://github.com/MantraChen/product-license-kit/blob/main/docs/ROADMAP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License Kit 框架功能与接入手册</dc:title>
  <dc:subject/>
  <dc:creator>MantraChen</dc:creator>
  <cp:keywords/>
  <dc:description>Generated from docs/SYSTEM-GUIDE.md; edit the source and regenerate.</dc:description>
  <cp:lastModifiedBy>MantraChen</cp:lastModifiedBy>
  <cp:revision>1</cp:revision>
  <dcterms:created xsi:type="dcterms:W3CDTF">2026-10-31T00:00:00Z</dcterms:created>
  <dcterms:modified xsi:type="dcterms:W3CDTF">2026-10-31T00:00:00Z</dcterms:modified>
  <cp:category/>
  <dc:identifier>1709b289d7c3dae57f7e753a4b0957223e2f34aa23d4c1a93bf9a624a5d7388e</dc:identifier>
</cp:coreProperties>
</file>