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B2C8D"/>
          <w:sz w:val="40"/>
          <w:szCs w:val="40"/>
        </w:rPr>
        <w:t xml:space="preserve">WORKSHOP ADDENDUM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Module: Prompt Engineering &amp; Agent Reliability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C55A11"/>
          <w:sz w:val="24"/>
          <w:szCs w:val="24"/>
        </w:rPr>
        <w:t xml:space="preserve">Add after Part 8 — approximately 35 minutes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module teaches the single most impactful skill for keeping agents reliable in production: engineering prompts so the agent always produces output you can actually use.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Concept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agents fail in production not because the model is wrong, but because the prompt is wrong. A weak prompt produces output that is vague, inconsistently formatted, and unparseable by downstream systems. A well-engineered prompt produces structured, reliable, auditable output every time.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key insight to open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 WITH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"A GPT-4o agent with a weak prompt will be outperformed by a GPT-4o-mini agent with a well-engineered prompt. Prompt quality is your most cost-effective lever — and it costs nothing to improve it."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Five Techniques Covered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It Solves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 Enforcement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deviates from ReAct format → parser crashes with OutputParserException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+ Constraint Framing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speculates without evidence, goes off-topic, or over-answers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 Examples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output structure, especially on smaller/cheaper models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Output Parsing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output is a blob of text — can't store, route, or display it reliably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Versioning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diagnose reliability regressions when the prompt changes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Timing and Facilitation Agenda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with the cost-effectiveness framing (see callout above)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0:05 – 0:10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V1 (weak) prompt aloud — ask room what's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0:10 – 0:18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V2 and V3 in the notebook side by 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0:18 – 0:25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few-shot examples, show V4, discuss token cost trade-off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0:25 – 0:30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the output parser — run broken output through parse_agent_output()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0:30 – 0:35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comparison: V1 vs V4 on the same query — discuss the table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Technique-by-Technique Facilitation Notes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Technique 1: Output Format Enforcement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by showing the V1 prompt on screen. Ask the room: "If you were the LLM, what would you do with these instructions?" Let them identify the gaps themselves.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three additions that matter most in V2: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"You MUST use EXACTLY this format" — declarative, not advisory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names embedded in the Action line — eliminates guessing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"do NOT write this yourself" on Observation — this is the single biggest hallucination trap for new agent builders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FAQ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Common question: "Why does the agent write its own Observation?" Answer: because nothing in a weak prompt tells it not to. The agent is just predicting the next token — if the format implies an Observation follows an Action Input, it will generate one. Explicitly forbidding it is necessary.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Technique 2: Role + Constraint Framing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the difference between these two role statements on the board: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WEAK:   "You are a supply chain analyst."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STRONG: "You are a Supply Chain Risk Analyst at a Canadian manufacturing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company. You monitor risks to our supplier network, shipping routes,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and raw material sources. YOUR CONSTRAINTS — follow without exception:"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constraint that matters most is the failure-mode constraint: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"If your search returns no relevant results, say 'No current risk signals found' — do not fill gaps with speculation." This single constraint eliminates the majority of hallucination incidents in supply chain agents.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CONFIDENCE field in V3 is worth emphasising separately. It teaches the agent to signal its own uncertainty — which is something most LLMs will do accurately when explicitly asked.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Technique 3: Few-Shot Examples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few-shot in one sentence: you paste a complete, correct example response into the prompt before asking the real question. The LLM pattern-matches to it.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 the cost objection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"The few-shot example in our prompt adds roughly 300 tokens. At GPT-4o-mini rates that is about $0.00015 per call. For an agent that runs 100 times a day, that is $0.015 per day — less than a cent and a half. The reliability gain is worth it."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Workshop discussion question: when would you NOT use few-shot? Good answers include: very high-volume, low-stakes queries where cost accumulates; or queries where the task is so varied that a single example is misleading.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Technique 4: Structured Output Parsing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where prompt engineering connects to real software engineering. Walk through the parse_agent_output() function in the notebook.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broken output cell first — let participants see the defaults (UNKNOWN severity, parse_succeeded: False). Then 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"Can you store UNKNOWN in your risk severity database?"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"Can you route a Slack alert based on UNKNOWN severity?"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"Can you build a dashboard that tracks risk trends if parse fails 30% of the time?"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answer to all three is no. This is why prompt engineering is not a nice-to-have — it is a prerequisite for building systems that actually work.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Technique 5: Prompt Versioning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this concrete by telling a failure 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"You deploy an agent in January. In March, a colleague edits the prompt to add a new constraint. In April, clients start complaining about false positives. You check the code — nothing changed. But nobody versioned the prompt. You have no idea what the prompt looked like in January. This is a real and common production problem."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the PROMPT_REGISTRY in the notebook. Explain that in production, this belongs in a database or a version-controlled YAML file alongside the code. The principle is the same as Git — every change is tracked, dated, and described.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Workshop Exercises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Exercise A — Write a V5 Prompt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v5 entry to PROMPT_REGISTRY in prompt_engineering.py. Your v5 should add a maximum length constraint to the SUMMARY field: "Your SUMMARY must be exactly 2 sentences — no more." Note the problem it solves in the description field. Run the agent with v5 and confirm the summary is actually shorter.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Exercise B — Break the Parser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Deliberately modify PROMPT_V4_FEW_SHOT to remove the SEVERITY line from the Final Answer schema. Run the agent and observe the parse result. Restore the prompt. Discuss: what downstream systems would break, and how would you detect this in production without observability?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Exercise C — Model vs Prompt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same query with: (1) V1 prompt on GPT-4o, and (2) V4 prompt on GPT-4o-mini. Compare parse success rate and output quality. This exercise makes the cost-effectiveness argument tangible — the cheaper model with the better prompt often wins.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Troubleshooting — Prompt Engineering Issues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OutputParserException on every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missing format instructions or using V1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to V3 or V4; ensure Thought/Action/Action Input schema is explicit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answers without using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does not make tool use mandatory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'You MUST use a tool before giving your Final Answer. Never answer from memory.'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field is sometimes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deviating from Final Answer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few-shot example (V4); repeat schema instructions twice in the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hallucinates port delays that don't exist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no-speculation 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Constraint 3 from V3: 'If no results found, say so — do not fill gaps'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 are inconsistently 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length constraint in prompt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'SUMMARY must be 2-3 sentences maximum'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succeeds but CONFIDENCE is always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is not distinguishing single vs multiple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constraints: 'Set CONFIDENCE to LOW if only one source confirms the risk'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Workshop Addendum — Prompt Engineering</w:t>
    </w:r>
    <w:r>
      <w:rPr>
        <w:rFonts w:ascii="Arial" w:cs="Arial" w:eastAsia="Arial" w:hAnsi="Arial"/>
        <w:color w:val="AAAAAA"/>
        <w:sz w:val="16"/>
        <w:szCs w:val="16"/>
      </w:rPr>
      <w:t xml:space="preserve">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Supply Chain Agent Workshop  |  Module: Prompt Engineering &amp; Reliability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2026-03-04T19:26:08.132Z</dcterms:created>
  <dcterms:modified xsi:type="dcterms:W3CDTF">2026-03-04T19:26:08.133Z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