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3600" w:firstLine="0"/>
        <w:rPr>
          <w:sz w:val="28"/>
          <w:szCs w:val="28"/>
        </w:rPr>
      </w:pPr>
      <w:r w:rsidDel="00000000" w:rsidR="00000000" w:rsidRPr="00000000">
        <w:rPr>
          <w:b w:val="1"/>
          <w:bCs w:val="1"/>
          <w:sz w:val="28"/>
          <w:szCs w:val="28"/>
          <w:rtl w:val="0"/>
        </w:rPr>
        <w:t xml:space="preserve">PTES Report</w:t>
      </w:r>
      <w:r w:rsidDel="00000000" w:rsidR="00000000" w:rsidRPr="00000000">
        <w:rPr>
          <w:rtl w:val="0"/>
        </w:rPr>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The penetration testing assessment was conducted on the DVWA (Damn Vulnerable Web Application) following the PTES (Penetration Testing Execution Standard) methodology. During the reconnaissance phase, the application structure and endpoints were analyzed. In the vulnerability identification phase, a SQL Injection flaw was discovered in the input parameter of the SQL Injection module.</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The exploitation phase involved using sqlmap to automate the attack. The tool successfully detected the backend DBMS as MySQL and enumerated available databases, including “dvwa.” Further exploitation allowed extraction of database tables such as “users,” which contained sensitive information. Password hashes were retrieved and successfully cracked using dictionary-based techniques, revealing plaintext credentials.</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This vulnerability exists due to improper input validation and lack of secure coding practices such as prepared statements. The impact of this flaw is critical, as it allows attackers to gain unauthorized access to sensitive data and potentially compromise the entire application.</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Recommendations include implementing input validation, parameterized queries, and regular security testing. Overall, the test demonstrated the importance of secure coding practices in preventing injection-based attacks.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