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8C54FCF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dell’andamento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xxxx±xx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compatibile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=(4020±30)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862C13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34579911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E37C38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19FD7201" w:rsidR="00814468" w:rsidRPr="00080874" w:rsidRDefault="00862C13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5E4E8C64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E37C38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5F0D4972" w:rsidR="008903DC" w:rsidRPr="00A4075F" w:rsidRDefault="00862C13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66F8101E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E37C38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273C04D" w:rsidR="007427DF" w:rsidRDefault="00862C13" w:rsidP="002863FF">
      <w:pPr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3DA2DE5F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E37C38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862C13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68E9AB96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E37C38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758A14C5" w:rsidR="00867B40" w:rsidRDefault="00867B40" w:rsidP="00111724">
      <w:pPr>
        <w:spacing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55FE12C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61A824E4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612158D9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37C3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612158D9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37C3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58F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80340" distR="180340" simplePos="0" relativeHeight="251658240" behindDoc="0" locked="0" layoutInCell="1" allowOverlap="1" wp14:anchorId="708057C4" wp14:editId="7343AB5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23200" cy="1713600"/>
            <wp:effectExtent l="0" t="0" r="0" b="127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9C7F1C7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AA14D4">
        <w:rPr>
          <w:sz w:val="24"/>
          <w:szCs w:val="24"/>
        </w:rPr>
        <w:t xml:space="preserve">XXX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xxxx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xxxx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xx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xxxx Hz-xxxx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xx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XXX volte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673D031E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t>Risultati e discussione</w:t>
      </w:r>
      <w:r>
        <w:rPr>
          <w:sz w:val="24"/>
          <w:szCs w:val="24"/>
        </w:rPr>
        <w:t>:</w:t>
      </w:r>
    </w:p>
    <w:p w14:paraId="4BB2E963" w14:textId="70E8F573" w:rsidR="00CE6E50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3C067BBD" w14:textId="4C7EF4C0" w:rsidR="005A3B99" w:rsidRDefault="00FD0F04" w:rsidP="00ED08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Riportare i risultati più rappresentativi in forma grafica oppure come foto delle osservazioni sull’oscilloscopio analogico (se utilizzato). Non è necessario riportare tutti i dati. Commentare qualitativamente gli andamenti delle grandezze fisiche riportati in forma grafica e/o le forme di riga osservate. In tutti i grafici gli assi devono essere chiaramente etichettati e le unità di misura devono essere incluse. Quando le incertezze sono note e sono visibili sulla scala utilizzata rappresentarle sul grafico come barre di errore. Porre particolare attenzione alla leggibilità, utilizzando caratteri sufficientemente grandi. Descrivere come sono stati elaborati i dati e riportare i risultati numerici (miglior stima ed incertezza), in forma tabellare se necessario. Commentare i valori ottenuti. Non è necessario riportare il calcolo esplicito delle incertezze (eventualmente usare una appendice), ma è importante segnalare se si tratta di risoluzione strumentale, di errore casuale oppure di errore sistem</w:t>
      </w:r>
      <w:r w:rsidR="00CC7B17">
        <w:rPr>
          <w:sz w:val="24"/>
          <w:szCs w:val="24"/>
        </w:rPr>
        <w:t>a</w:t>
      </w:r>
      <w:r w:rsidRPr="00FD0F04">
        <w:rPr>
          <w:sz w:val="24"/>
          <w:szCs w:val="24"/>
        </w:rPr>
        <w:t>tico.</w:t>
      </w:r>
    </w:p>
    <w:p w14:paraId="3D80458A" w14:textId="511BD451" w:rsidR="005A3B99" w:rsidRDefault="005A3B99" w:rsidP="00ED08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/* </w:t>
      </w:r>
      <w:r w:rsidR="006D62F0">
        <w:rPr>
          <w:sz w:val="24"/>
          <w:szCs w:val="24"/>
        </w:rPr>
        <w:t>scrivere</w:t>
      </w:r>
      <w:r>
        <w:rPr>
          <w:sz w:val="24"/>
          <w:szCs w:val="24"/>
        </w:rPr>
        <w:t xml:space="preserve"> della stima degli errori sui dati e riportare quali errori ci sono venuti fuori, sia per la tensione che per la fase*/</w:t>
      </w:r>
    </w:p>
    <w:p w14:paraId="7582C7FA" w14:textId="3EF5B4C4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tensione</w:t>
      </w:r>
      <w:r>
        <w:rPr>
          <w:sz w:val="24"/>
          <w:szCs w:val="24"/>
        </w:rPr>
        <w:t>:</w:t>
      </w:r>
      <w:r w:rsidR="00836721">
        <w:rPr>
          <w:sz w:val="24"/>
          <w:szCs w:val="24"/>
        </w:rPr>
        <w:t xml:space="preserve"> </w:t>
      </w:r>
    </w:p>
    <w:p w14:paraId="00332096" w14:textId="4DB224E1" w:rsidR="00ED0874" w:rsidRDefault="00ED0874" w:rsidP="00ED08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Riportare i risultati più rappresentativi in forma grafica oppure come foto delle osservazioni sull’oscilloscopio analogico (se utilizzato). Non è necessario riportare tutti i dati. Commentare qualitativamente gli andamenti delle grandezze fisiche riportati in forma grafica e/o le forme di riga osservate. In tutti i grafici gli assi devono essere chiaramente etichettati e le unità di misura devono essere incluse. Quando le incertezze sono note e sono visibili sulla scala utilizzata rappresentarle sul grafico come barre di errore. Porre particolare attenzione alla leggibilità, utilizzando caratteri sufficientemente grandi. Descrivere come sono stati elaborati i dati e riportare i risultati numerici (miglior stima ed incertezza), in forma tabellare se necessario. Commentare i valori ottenuti. Non è necessario riportare il calcolo esplicito delle incertezze (eventualmente usare una appendice), ma è importante segnalare se si tratta di risoluzione strumentale, di errore casuale oppure di errore sistematico.</w:t>
      </w:r>
    </w:p>
    <w:p w14:paraId="7C826547" w14:textId="1BBA7054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51A8A1A0" w:rsidR="00C11985" w:rsidRDefault="000C6F1C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4D4D5EE6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271E56EC" w:rsidR="006C345A" w:rsidRPr="006C345A" w:rsidRDefault="006C345A" w:rsidP="006C345A">
                            <w:pPr>
                              <w:pStyle w:val="Caption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Tabella \* ARABIC </w:instrText>
                            </w:r>
                            <w:r>
                              <w:fldChar w:fldCharType="separate"/>
                            </w:r>
                            <w:r w:rsidR="00E37C3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Text Box 2" o:spid="_x0000_s1027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3bg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mmqNZyOuCuoTAUMYDUkPiCYt4G/OejJjyf2vg0DFmflsCfpqOp9H96bFfPGeCDG8jlTX&#10;EWElSZU8cDZOtyE5PuFwd9ScnU7YXjI5p0wmSzTPDyK6+Hqddr08280fAA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bf92&#10;4B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271E56EC" w:rsidR="006C345A" w:rsidRPr="006C345A" w:rsidRDefault="006C345A" w:rsidP="006C345A">
                      <w:pPr>
                        <w:pStyle w:val="Caption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r>
                        <w:fldChar w:fldCharType="begin"/>
                      </w:r>
                      <w:r>
                        <w:instrText xml:space="preserve"> SEQ Tabella \* ARABIC </w:instrText>
                      </w:r>
                      <w:r>
                        <w:fldChar w:fldCharType="separate"/>
                      </w:r>
                      <w:r w:rsidR="00E37C3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Risultati del </w:t>
                      </w:r>
                      <w:proofErr w:type="spellStart"/>
                      <w:r>
                        <w:t>fit</w:t>
                      </w:r>
                      <w:proofErr w:type="spellEnd"/>
                      <w:r>
                        <w:t xml:space="preserve">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A5146D">
        <w:rPr>
          <w:sz w:val="24"/>
          <w:szCs w:val="24"/>
        </w:rPr>
        <w:t>Dunque sono stati inizialmente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</w:t>
      </w:r>
      <w:r w:rsidR="00C35A49">
        <w:rPr>
          <w:sz w:val="24"/>
          <w:szCs w:val="24"/>
        </w:rPr>
        <w:lastRenderedPageBreak/>
        <w:t xml:space="preserve">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>, riportati in tabella XX,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2</w:t>
      </w:r>
      <w:r w:rsidR="004427C9">
        <w:rPr>
          <w:rFonts w:eastAsiaTheme="minorEastAsia"/>
          <w:sz w:val="24"/>
          <w:szCs w:val="24"/>
        </w:rPr>
        <w:t xml:space="preserve"> e YY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  <w:r w:rsidR="0033336F"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="0033336F" w:rsidRPr="0033336F">
        <w:rPr>
          <w:sz w:val="24"/>
          <w:szCs w:val="24"/>
        </w:rPr>
        <w:t xml:space="preserve">igura </w:t>
      </w:r>
      <w:r w:rsidR="0033336F">
        <w:rPr>
          <w:sz w:val="24"/>
          <w:szCs w:val="24"/>
        </w:rPr>
        <w:t>2 è inoltre mostrato il confronto tra la fase misurata sui due rami confrontata con l’andamento previsto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0F0428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1858FE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±0.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0F0428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1858FE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±0.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0F0428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520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±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29C04BB2" w:rsidR="00624F4F" w:rsidRPr="00420FE0" w:rsidRDefault="00624F4F" w:rsidP="00420FE0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0C6F1C">
                              <w:t>2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</w:t>
                            </w:r>
                            <w:r w:rsidRPr="00420FE0">
                              <w:t>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28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" stroked="f">
                <v:textbox>
                  <w:txbxContent>
                    <w:p w14:paraId="736CEC93" w14:textId="29C04BB2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0C6F1C">
                        <w:t>2</w:t>
                      </w:r>
                      <w:r w:rsidRPr="00420FE0">
                        <w:t xml:space="preserve">: Sfasamento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funzioni attese </w:t>
                      </w:r>
                      <w:r w:rsidRPr="00420FE0">
                        <w:t>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 xml:space="preserve">È mostrata anche la somma delle funzioni ottenute dal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862C13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1684A451" w:rsidR="00EC58A7" w:rsidRDefault="000D3A4A" w:rsidP="00277520">
      <w:pPr>
        <w:pStyle w:val="Caption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E37C38">
          <w:rPr>
            <w:noProof/>
          </w:rPr>
          <w:t>6</w:t>
        </w:r>
      </w:fldSimple>
      <w:r>
        <w:t xml:space="preserve"> )</w:t>
      </w:r>
    </w:p>
    <w:p w14:paraId="0B06EEA8" w14:textId="1B0454D2" w:rsidR="00277520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, sono raffigurati in Figur</w:t>
      </w:r>
      <w:r w:rsidR="004427C9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 </w:t>
      </w:r>
      <w:r w:rsidR="0027786F">
        <w:rPr>
          <w:rFonts w:eastAsiaTheme="minorEastAsia"/>
          <w:sz w:val="24"/>
          <w:szCs w:val="24"/>
        </w:rPr>
        <w:t>3</w:t>
      </w:r>
      <w:r w:rsidR="004427C9">
        <w:rPr>
          <w:rFonts w:eastAsiaTheme="minorEastAsia"/>
          <w:sz w:val="24"/>
          <w:szCs w:val="24"/>
        </w:rPr>
        <w:t xml:space="preserve"> e </w:t>
      </w:r>
      <w:r w:rsidR="0027786F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>.</w:t>
      </w:r>
    </w:p>
    <w:p w14:paraId="2E4FB2FB" w14:textId="68F90B50" w:rsidR="00E76BE2" w:rsidRDefault="00816B40" w:rsidP="00277520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Caption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r>
                              <w:t xml:space="preserve">2: </w:t>
                            </w:r>
                            <w:r>
                              <w:t xml:space="preserve">Risultati del </w:t>
                            </w:r>
                            <w:proofErr w:type="spellStart"/>
                            <w:r>
                              <w:t>fit</w:t>
                            </w:r>
                            <w:proofErr w:type="spellEnd"/>
                            <w:r>
                              <w:t xml:space="preserve"> effettuato sui dati relativi </w:t>
                            </w:r>
                            <w:r>
                              <w:t>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29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QkWC&#10;uB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Caption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r>
                        <w:t xml:space="preserve">2: </w:t>
                      </w:r>
                      <w:r>
                        <w:t xml:space="preserve">Risultati del </w:t>
                      </w:r>
                      <w:proofErr w:type="spellStart"/>
                      <w:r>
                        <w:t>fit</w:t>
                      </w:r>
                      <w:proofErr w:type="spellEnd"/>
                      <w:r>
                        <w:t xml:space="preserve"> effettuato sui dati relativi </w:t>
                      </w:r>
                      <w:r>
                        <w:t>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E76BE2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E76BE2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E76BE2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E76BE2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E76BE2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435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±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23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 Hz</m:t>
                </m:r>
              </m:oMath>
            </m:oMathPara>
          </w:p>
        </w:tc>
      </w:tr>
    </w:tbl>
    <w:p w14:paraId="7BB34D38" w14:textId="77777777" w:rsidR="00E76BE2" w:rsidRDefault="00E76BE2" w:rsidP="00277520">
      <w:pPr>
        <w:spacing w:after="0"/>
        <w:jc w:val="both"/>
        <w:rPr>
          <w:rFonts w:eastAsiaTheme="minorEastAsia"/>
          <w:sz w:val="24"/>
          <w:szCs w:val="24"/>
        </w:rPr>
      </w:pPr>
    </w:p>
    <w:p w14:paraId="4DB117DE" w14:textId="7CB2C3ED" w:rsidR="00277520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</w:p>
    <w:p w14:paraId="6E7555AA" w14:textId="20F8763A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7B566200" w:rsidR="00B17F55" w:rsidRPr="00B17F55" w:rsidRDefault="00B17F55" w:rsidP="00B17F55">
                            <w:pPr>
                              <w:pStyle w:val="PlaceholderText"/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4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w:proofErr w:type="spellStart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0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GFkqJ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7B566200" w:rsidR="00B17F55" w:rsidRPr="00B17F55" w:rsidRDefault="00B17F55" w:rsidP="00B17F55">
                      <w:pPr>
                        <w:pStyle w:val="PlaceholderText"/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4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w:proofErr w:type="spell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funzione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7777777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1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" stroked="f">
                <v:textbox>
                  <w:txbxContent>
                    <w:p w14:paraId="75E658AA" w14:textId="77777777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2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21E2EBEA" w14:textId="73D29373" w:rsidR="0043087E" w:rsidRDefault="0043087E" w:rsidP="008E407B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84FD8D3" w14:textId="7942CC46" w:rsidR="0043087E" w:rsidRDefault="0043087E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// conto per trovare la freq</w:t>
      </w:r>
      <w:r w:rsidR="00B44B88">
        <w:rPr>
          <w:sz w:val="24"/>
          <w:szCs w:val="24"/>
        </w:rPr>
        <w:t>uenza</w:t>
      </w:r>
      <w:r>
        <w:rPr>
          <w:sz w:val="24"/>
          <w:szCs w:val="24"/>
        </w:rPr>
        <w:t xml:space="preserve"> di crossover</w:t>
      </w:r>
    </w:p>
    <w:p w14:paraId="4C477B16" w14:textId="2B1EFC53" w:rsidR="0043087E" w:rsidRPr="00DE7771" w:rsidRDefault="0043087E" w:rsidP="00CE6152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// conto per trovare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</w:p>
    <w:p w14:paraId="5EC2D012" w14:textId="3D81149D" w:rsidR="00DE7771" w:rsidRPr="00DE7771" w:rsidRDefault="00DE7771" w:rsidP="00CE6152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// spiegare come abbiamo trovato 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</w:p>
    <w:p w14:paraId="45D59156" w14:textId="5FAD3615" w:rsidR="00DE7771" w:rsidRPr="00DE7771" w:rsidRDefault="00DE7771" w:rsidP="00CE6152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// conto per le formule della tensione (?)</w:t>
      </w:r>
    </w:p>
    <w:p w14:paraId="2CFCDAD5" w14:textId="16E4317E" w:rsidR="0043087E" w:rsidRDefault="0043087E" w:rsidP="00CE6152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// conto per le formule d</w:t>
      </w:r>
      <w:r w:rsidR="00DE7771">
        <w:rPr>
          <w:rFonts w:eastAsiaTheme="minorEastAsia"/>
          <w:sz w:val="24"/>
          <w:szCs w:val="24"/>
        </w:rPr>
        <w:t>ella fase (?)</w:t>
      </w:r>
    </w:p>
    <w:p w14:paraId="2850E232" w14:textId="46611EB7" w:rsidR="00DE7771" w:rsidRPr="00DE7771" w:rsidRDefault="00DE7771" w:rsidP="00CE6152">
      <w:pPr>
        <w:spacing w:after="0"/>
        <w:jc w:val="both"/>
      </w:pPr>
      <w:r>
        <w:rPr>
          <w:rFonts w:eastAsiaTheme="minorEastAsia"/>
          <w:sz w:val="24"/>
          <w:szCs w:val="24"/>
        </w:rPr>
        <w:t>// propagazione degli errori (?)</w:t>
      </w:r>
    </w:p>
    <w:sectPr w:rsidR="00DE7771" w:rsidRPr="00DE7771" w:rsidSect="009819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80874"/>
    <w:rsid w:val="000C6F1C"/>
    <w:rsid w:val="000D3A4A"/>
    <w:rsid w:val="000E06AC"/>
    <w:rsid w:val="000E6B97"/>
    <w:rsid w:val="000F0428"/>
    <w:rsid w:val="000F7B84"/>
    <w:rsid w:val="00111724"/>
    <w:rsid w:val="001858FE"/>
    <w:rsid w:val="001A3B85"/>
    <w:rsid w:val="001D6F80"/>
    <w:rsid w:val="002440B7"/>
    <w:rsid w:val="00254D99"/>
    <w:rsid w:val="002566D5"/>
    <w:rsid w:val="00273278"/>
    <w:rsid w:val="00277520"/>
    <w:rsid w:val="0027786F"/>
    <w:rsid w:val="0028443C"/>
    <w:rsid w:val="002863FF"/>
    <w:rsid w:val="00286B8E"/>
    <w:rsid w:val="00294A32"/>
    <w:rsid w:val="002E5EAD"/>
    <w:rsid w:val="00303441"/>
    <w:rsid w:val="00303CF0"/>
    <w:rsid w:val="00313A30"/>
    <w:rsid w:val="003158AA"/>
    <w:rsid w:val="0031752B"/>
    <w:rsid w:val="0033336F"/>
    <w:rsid w:val="00357317"/>
    <w:rsid w:val="00362AB8"/>
    <w:rsid w:val="003862B4"/>
    <w:rsid w:val="003B3135"/>
    <w:rsid w:val="003C2AD9"/>
    <w:rsid w:val="003D6EB8"/>
    <w:rsid w:val="003E7266"/>
    <w:rsid w:val="00414CFD"/>
    <w:rsid w:val="00420FE0"/>
    <w:rsid w:val="0043087E"/>
    <w:rsid w:val="004427C9"/>
    <w:rsid w:val="0046177B"/>
    <w:rsid w:val="004702D0"/>
    <w:rsid w:val="004E2D88"/>
    <w:rsid w:val="0050485A"/>
    <w:rsid w:val="005A3B99"/>
    <w:rsid w:val="005D4F51"/>
    <w:rsid w:val="005F00F1"/>
    <w:rsid w:val="00622127"/>
    <w:rsid w:val="00624F4F"/>
    <w:rsid w:val="00625B48"/>
    <w:rsid w:val="00655248"/>
    <w:rsid w:val="00681248"/>
    <w:rsid w:val="00690D3D"/>
    <w:rsid w:val="00694C55"/>
    <w:rsid w:val="006C345A"/>
    <w:rsid w:val="006D62F0"/>
    <w:rsid w:val="00717C13"/>
    <w:rsid w:val="007427DF"/>
    <w:rsid w:val="00750F8D"/>
    <w:rsid w:val="00770D46"/>
    <w:rsid w:val="007828F7"/>
    <w:rsid w:val="007869FA"/>
    <w:rsid w:val="007B7362"/>
    <w:rsid w:val="007F35E6"/>
    <w:rsid w:val="00814468"/>
    <w:rsid w:val="00816B40"/>
    <w:rsid w:val="00836721"/>
    <w:rsid w:val="00862C13"/>
    <w:rsid w:val="00867B40"/>
    <w:rsid w:val="0088504F"/>
    <w:rsid w:val="008903DC"/>
    <w:rsid w:val="008924FF"/>
    <w:rsid w:val="008E038E"/>
    <w:rsid w:val="008E407B"/>
    <w:rsid w:val="0090240A"/>
    <w:rsid w:val="00907F30"/>
    <w:rsid w:val="00922C43"/>
    <w:rsid w:val="009450A5"/>
    <w:rsid w:val="00950D17"/>
    <w:rsid w:val="009819E4"/>
    <w:rsid w:val="009B3990"/>
    <w:rsid w:val="009B4AB5"/>
    <w:rsid w:val="00A15372"/>
    <w:rsid w:val="00A16E84"/>
    <w:rsid w:val="00A4075F"/>
    <w:rsid w:val="00A5146D"/>
    <w:rsid w:val="00A623FB"/>
    <w:rsid w:val="00A63D6E"/>
    <w:rsid w:val="00A9742C"/>
    <w:rsid w:val="00AA14D4"/>
    <w:rsid w:val="00B002CE"/>
    <w:rsid w:val="00B17F55"/>
    <w:rsid w:val="00B44B88"/>
    <w:rsid w:val="00BD0EC5"/>
    <w:rsid w:val="00BE2E27"/>
    <w:rsid w:val="00C01600"/>
    <w:rsid w:val="00C11985"/>
    <w:rsid w:val="00C1524C"/>
    <w:rsid w:val="00C23A4D"/>
    <w:rsid w:val="00C35A49"/>
    <w:rsid w:val="00C54CB9"/>
    <w:rsid w:val="00C63BAB"/>
    <w:rsid w:val="00C734CE"/>
    <w:rsid w:val="00CC7B17"/>
    <w:rsid w:val="00CE6152"/>
    <w:rsid w:val="00CE6E50"/>
    <w:rsid w:val="00D25064"/>
    <w:rsid w:val="00D604D5"/>
    <w:rsid w:val="00D90351"/>
    <w:rsid w:val="00DA19E0"/>
    <w:rsid w:val="00DD3F22"/>
    <w:rsid w:val="00DE6490"/>
    <w:rsid w:val="00DE7771"/>
    <w:rsid w:val="00E0328F"/>
    <w:rsid w:val="00E15470"/>
    <w:rsid w:val="00E37C38"/>
    <w:rsid w:val="00E44E9D"/>
    <w:rsid w:val="00E51918"/>
    <w:rsid w:val="00E620BE"/>
    <w:rsid w:val="00E653EB"/>
    <w:rsid w:val="00E76BE2"/>
    <w:rsid w:val="00EA02D7"/>
    <w:rsid w:val="00EA623A"/>
    <w:rsid w:val="00EC3CBA"/>
    <w:rsid w:val="00EC58A7"/>
    <w:rsid w:val="00EC603A"/>
    <w:rsid w:val="00ED0874"/>
    <w:rsid w:val="00EE2AA6"/>
    <w:rsid w:val="00F55D60"/>
    <w:rsid w:val="00F91E29"/>
    <w:rsid w:val="00FD0F04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44</cp:revision>
  <dcterms:created xsi:type="dcterms:W3CDTF">2022-05-24T08:20:00Z</dcterms:created>
  <dcterms:modified xsi:type="dcterms:W3CDTF">2022-05-27T20:54:00Z</dcterms:modified>
</cp:coreProperties>
</file>