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8C54FCF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dell’andamento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xxxx±xx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compatibile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=(4020±30)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2D183A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34579911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2D183A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5E4E8C64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2D183A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66F8101E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273C04D" w:rsidR="007427DF" w:rsidRDefault="002D183A" w:rsidP="002863FF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3DA2DE5F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2D183A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68E9AB96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758A14C5" w:rsidR="00867B40" w:rsidRDefault="00867B40" w:rsidP="00111724">
      <w:pPr>
        <w:spacing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55FE12C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612158D9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37C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612158D9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37C3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9C7F1C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AA14D4">
        <w:rPr>
          <w:sz w:val="24"/>
          <w:szCs w:val="24"/>
        </w:rPr>
        <w:t xml:space="preserve">XXX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xxxx Hz-xxxx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XXX volte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 xml:space="preserve">per </w:t>
      </w:r>
      <w:r w:rsidR="00907F30">
        <w:rPr>
          <w:sz w:val="24"/>
          <w:szCs w:val="24"/>
        </w:rPr>
        <w:lastRenderedPageBreak/>
        <w:t>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673D031E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t>Risultati e discussione</w:t>
      </w:r>
      <w:r>
        <w:rPr>
          <w:sz w:val="24"/>
          <w:szCs w:val="24"/>
        </w:rPr>
        <w:t>:</w:t>
      </w:r>
    </w:p>
    <w:p w14:paraId="4BB2E963" w14:textId="70E8F573" w:rsidR="00CE6E50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3C067BBD" w14:textId="4C7EF4C0" w:rsidR="005A3B99" w:rsidRDefault="00FD0F0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</w:t>
      </w:r>
      <w:r w:rsidR="00CC7B17">
        <w:rPr>
          <w:sz w:val="24"/>
          <w:szCs w:val="24"/>
        </w:rPr>
        <w:t>a</w:t>
      </w:r>
      <w:r w:rsidRPr="00FD0F04">
        <w:rPr>
          <w:sz w:val="24"/>
          <w:szCs w:val="24"/>
        </w:rPr>
        <w:t>tico.</w:t>
      </w:r>
    </w:p>
    <w:p w14:paraId="3D80458A" w14:textId="511BD451" w:rsidR="005A3B99" w:rsidRDefault="005A3B99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r w:rsidR="006D62F0">
        <w:rPr>
          <w:sz w:val="24"/>
          <w:szCs w:val="24"/>
        </w:rPr>
        <w:t>scrivere</w:t>
      </w:r>
      <w:r>
        <w:rPr>
          <w:sz w:val="24"/>
          <w:szCs w:val="24"/>
        </w:rPr>
        <w:t xml:space="preserve"> della stima degli errori sui dati e riportare quali errori ci sono venuti fuori, sia per la tensione che per la fase*/</w:t>
      </w:r>
    </w:p>
    <w:p w14:paraId="7582C7FA" w14:textId="3EF5B4C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  <w:r w:rsidR="00836721">
        <w:rPr>
          <w:sz w:val="24"/>
          <w:szCs w:val="24"/>
        </w:rPr>
        <w:t xml:space="preserve"> </w:t>
      </w:r>
    </w:p>
    <w:p w14:paraId="00332096" w14:textId="4DB224E1" w:rsidR="00ED0874" w:rsidRDefault="00ED087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sistematico.</w:t>
      </w:r>
    </w:p>
    <w:p w14:paraId="7C826547" w14:textId="1BBA705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6E44DDA3" w:rsidR="00C11985" w:rsidRDefault="000C6F1C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4D4D5EE6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271E56EC" w:rsidR="006C345A" w:rsidRPr="006C345A" w:rsidRDefault="006C345A" w:rsidP="006C345A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2D183A">
                              <w:fldChar w:fldCharType="begin"/>
                            </w:r>
                            <w:r w:rsidR="002D183A">
                              <w:instrText xml:space="preserve"> SEQ Tabella \* ARABIC </w:instrText>
                            </w:r>
                            <w:r w:rsidR="002D183A">
                              <w:fldChar w:fldCharType="separate"/>
                            </w:r>
                            <w:r w:rsidR="00E37C38">
                              <w:rPr>
                                <w:noProof/>
                              </w:rPr>
                              <w:t>1</w:t>
                            </w:r>
                            <w:r w:rsidR="002D18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Text Box 2" o:spid="_x0000_s1027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" stroked="f">
                <v:textbox style="mso-fit-shape-to-text:t">
                  <w:txbxContent>
                    <w:p w14:paraId="6A873715" w14:textId="271E56EC" w:rsidR="006C345A" w:rsidRPr="006C345A" w:rsidRDefault="006C345A" w:rsidP="006C345A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 w:rsidR="002D183A">
                        <w:fldChar w:fldCharType="begin"/>
                      </w:r>
                      <w:r w:rsidR="002D183A">
                        <w:instrText xml:space="preserve"> SEQ Tabella \* ARABIC </w:instrText>
                      </w:r>
                      <w:r w:rsidR="002D183A">
                        <w:fldChar w:fldCharType="separate"/>
                      </w:r>
                      <w:r w:rsidR="00E37C38">
                        <w:rPr>
                          <w:noProof/>
                        </w:rPr>
                        <w:t>1</w:t>
                      </w:r>
                      <w:r w:rsidR="002D183A">
                        <w:rPr>
                          <w:noProof/>
                        </w:rPr>
                        <w:fldChar w:fldCharType="end"/>
                      </w:r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A5146D">
        <w:rPr>
          <w:sz w:val="24"/>
          <w:szCs w:val="24"/>
        </w:rPr>
        <w:t>Dunque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 w:rsidR="004427C9">
        <w:rPr>
          <w:rFonts w:eastAsiaTheme="minorEastAsia"/>
          <w:sz w:val="24"/>
          <w:szCs w:val="24"/>
        </w:rPr>
        <w:t xml:space="preserve"> e YY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  <w:r w:rsidR="0033336F"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="0033336F" w:rsidRPr="0033336F">
        <w:rPr>
          <w:sz w:val="24"/>
          <w:szCs w:val="24"/>
        </w:rPr>
        <w:t xml:space="preserve">igura </w:t>
      </w:r>
      <w:r w:rsidR="0033336F">
        <w:rPr>
          <w:sz w:val="24"/>
          <w:szCs w:val="24"/>
        </w:rPr>
        <w:t>2 è inoltre mostrato il confronto tra la fase misurata sui due rami confrontata con l’andamento previsto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2D183A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2D183A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2D183A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2D183A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2D183A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29C04BB2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0C6F1C">
                              <w:t>2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28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" stroked="f">
                <v:textbox>
                  <w:txbxContent>
                    <w:p w14:paraId="736CEC93" w14:textId="29C04BB2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0C6F1C">
                        <w:t>2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2D183A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1684A451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E37C38">
          <w:rPr>
            <w:noProof/>
          </w:rPr>
          <w:t>6</w:t>
        </w:r>
      </w:fldSimple>
      <w:r>
        <w:t xml:space="preserve"> )</w:t>
      </w:r>
    </w:p>
    <w:p w14:paraId="2E4FB2FB" w14:textId="4FAF32BD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, sono raffigurati in Figur</w:t>
      </w:r>
      <w:r w:rsidR="004427C9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</w:t>
      </w:r>
      <w:r w:rsidR="0027786F">
        <w:rPr>
          <w:rFonts w:eastAsiaTheme="minorEastAsia"/>
          <w:sz w:val="24"/>
          <w:szCs w:val="24"/>
        </w:rPr>
        <w:t>3</w:t>
      </w:r>
      <w:r w:rsidR="004427C9">
        <w:rPr>
          <w:rFonts w:eastAsiaTheme="minorEastAsia"/>
          <w:sz w:val="24"/>
          <w:szCs w:val="24"/>
        </w:rPr>
        <w:t xml:space="preserve"> e </w:t>
      </w:r>
      <w:r w:rsidR="0027786F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29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BgW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2D183A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2D183A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2D183A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2D183A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2D183A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7BCA0F5" w14:textId="77777777" w:rsidR="002C39DB" w:rsidRDefault="002C39DB" w:rsidP="005D4F51">
      <w:pPr>
        <w:spacing w:after="0"/>
        <w:jc w:val="both"/>
        <w:rPr>
          <w:rFonts w:eastAsiaTheme="minorEastAsia"/>
          <w:sz w:val="24"/>
          <w:szCs w:val="24"/>
        </w:rPr>
      </w:pPr>
    </w:p>
    <w:p w14:paraId="6E7555AA" w14:textId="01319F65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7B566200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4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0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d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3XJFzE3slVBfSS+EEY90v+hQwv4h7OetFhy/3svUHFmPlvi/Ga6iASFZCyW72dk4KWnuvQI&#10;Kwmq5IGz8bgJSfCRDgt3NJtGJ9peKjmVTBpLbJ7+QxTxpZ2iXn7t+gk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Fa6al0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7B566200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4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delle funzione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7777777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1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QK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" stroked="f">
                <v:textbox>
                  <w:txbxContent>
                    <w:p w14:paraId="75E658AA" w14:textId="77777777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2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L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2D183A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2D183A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A9631B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156430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9819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80874"/>
    <w:rsid w:val="000A23B9"/>
    <w:rsid w:val="000C6F1C"/>
    <w:rsid w:val="000D3A4A"/>
    <w:rsid w:val="000E06AC"/>
    <w:rsid w:val="000E6B97"/>
    <w:rsid w:val="000F0428"/>
    <w:rsid w:val="000F7B84"/>
    <w:rsid w:val="001114AF"/>
    <w:rsid w:val="00111724"/>
    <w:rsid w:val="00156430"/>
    <w:rsid w:val="001858FE"/>
    <w:rsid w:val="001A3B85"/>
    <w:rsid w:val="001D6F80"/>
    <w:rsid w:val="002440B7"/>
    <w:rsid w:val="00254D99"/>
    <w:rsid w:val="002566D5"/>
    <w:rsid w:val="00273278"/>
    <w:rsid w:val="00277520"/>
    <w:rsid w:val="0027786F"/>
    <w:rsid w:val="0028443C"/>
    <w:rsid w:val="002863FF"/>
    <w:rsid w:val="00286B8E"/>
    <w:rsid w:val="00294A32"/>
    <w:rsid w:val="002C39DB"/>
    <w:rsid w:val="002D183A"/>
    <w:rsid w:val="002E5EAD"/>
    <w:rsid w:val="00303441"/>
    <w:rsid w:val="00303CF0"/>
    <w:rsid w:val="00313A30"/>
    <w:rsid w:val="003158AA"/>
    <w:rsid w:val="0031752B"/>
    <w:rsid w:val="0033336F"/>
    <w:rsid w:val="00357317"/>
    <w:rsid w:val="00362AB8"/>
    <w:rsid w:val="003862B4"/>
    <w:rsid w:val="003B3135"/>
    <w:rsid w:val="003C2AD9"/>
    <w:rsid w:val="003D6EB8"/>
    <w:rsid w:val="003E7266"/>
    <w:rsid w:val="00414CFD"/>
    <w:rsid w:val="00420FE0"/>
    <w:rsid w:val="0043087E"/>
    <w:rsid w:val="004427C9"/>
    <w:rsid w:val="0046177B"/>
    <w:rsid w:val="004702D0"/>
    <w:rsid w:val="00493F8D"/>
    <w:rsid w:val="004E2D88"/>
    <w:rsid w:val="00502F21"/>
    <w:rsid w:val="0050485A"/>
    <w:rsid w:val="005441C2"/>
    <w:rsid w:val="005A3B99"/>
    <w:rsid w:val="005B36F3"/>
    <w:rsid w:val="005D4F51"/>
    <w:rsid w:val="005F00F1"/>
    <w:rsid w:val="00622127"/>
    <w:rsid w:val="00624F4F"/>
    <w:rsid w:val="00625B48"/>
    <w:rsid w:val="00655248"/>
    <w:rsid w:val="00681248"/>
    <w:rsid w:val="00686DD6"/>
    <w:rsid w:val="00690D3D"/>
    <w:rsid w:val="00694C55"/>
    <w:rsid w:val="006A32D6"/>
    <w:rsid w:val="006C345A"/>
    <w:rsid w:val="006D62F0"/>
    <w:rsid w:val="006F7CF2"/>
    <w:rsid w:val="00717C13"/>
    <w:rsid w:val="007427DF"/>
    <w:rsid w:val="00750F8D"/>
    <w:rsid w:val="00770D46"/>
    <w:rsid w:val="007828F7"/>
    <w:rsid w:val="007869FA"/>
    <w:rsid w:val="007B0174"/>
    <w:rsid w:val="007B7362"/>
    <w:rsid w:val="007F35E6"/>
    <w:rsid w:val="00814468"/>
    <w:rsid w:val="00816B40"/>
    <w:rsid w:val="00836721"/>
    <w:rsid w:val="00862C13"/>
    <w:rsid w:val="00867B40"/>
    <w:rsid w:val="0088504F"/>
    <w:rsid w:val="008903DC"/>
    <w:rsid w:val="008924FF"/>
    <w:rsid w:val="008E038E"/>
    <w:rsid w:val="008E407B"/>
    <w:rsid w:val="0090240A"/>
    <w:rsid w:val="00907F30"/>
    <w:rsid w:val="00922C43"/>
    <w:rsid w:val="009450A5"/>
    <w:rsid w:val="00950D17"/>
    <w:rsid w:val="009819E4"/>
    <w:rsid w:val="009B3990"/>
    <w:rsid w:val="009B4AB5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70D03"/>
    <w:rsid w:val="00A9631B"/>
    <w:rsid w:val="00A9742C"/>
    <w:rsid w:val="00AA14D4"/>
    <w:rsid w:val="00AD48D0"/>
    <w:rsid w:val="00B002CE"/>
    <w:rsid w:val="00B17F55"/>
    <w:rsid w:val="00B44B88"/>
    <w:rsid w:val="00B86438"/>
    <w:rsid w:val="00BD0EC5"/>
    <w:rsid w:val="00BE2E27"/>
    <w:rsid w:val="00C01600"/>
    <w:rsid w:val="00C11985"/>
    <w:rsid w:val="00C1524C"/>
    <w:rsid w:val="00C23A4D"/>
    <w:rsid w:val="00C35A49"/>
    <w:rsid w:val="00C54CB9"/>
    <w:rsid w:val="00C63BAB"/>
    <w:rsid w:val="00C734CE"/>
    <w:rsid w:val="00CC7B17"/>
    <w:rsid w:val="00CE6152"/>
    <w:rsid w:val="00CE6E50"/>
    <w:rsid w:val="00D25064"/>
    <w:rsid w:val="00D31FD6"/>
    <w:rsid w:val="00D604D5"/>
    <w:rsid w:val="00D90351"/>
    <w:rsid w:val="00DA19E0"/>
    <w:rsid w:val="00DD3F22"/>
    <w:rsid w:val="00DE6490"/>
    <w:rsid w:val="00DE7771"/>
    <w:rsid w:val="00E0328F"/>
    <w:rsid w:val="00E15470"/>
    <w:rsid w:val="00E37C38"/>
    <w:rsid w:val="00E44E9D"/>
    <w:rsid w:val="00E51918"/>
    <w:rsid w:val="00E620BE"/>
    <w:rsid w:val="00E653EB"/>
    <w:rsid w:val="00E76BE2"/>
    <w:rsid w:val="00E95C96"/>
    <w:rsid w:val="00EA02D7"/>
    <w:rsid w:val="00EA623A"/>
    <w:rsid w:val="00EC3CBA"/>
    <w:rsid w:val="00EC58A7"/>
    <w:rsid w:val="00EC603A"/>
    <w:rsid w:val="00ED0874"/>
    <w:rsid w:val="00EE2AA6"/>
    <w:rsid w:val="00EF04A0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52</cp:revision>
  <dcterms:created xsi:type="dcterms:W3CDTF">2022-05-24T08:20:00Z</dcterms:created>
  <dcterms:modified xsi:type="dcterms:W3CDTF">2022-05-29T08:43:00Z</dcterms:modified>
</cp:coreProperties>
</file>