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proofErr w:type="gramStart"/>
      <w:r w:rsidR="00D90351">
        <w:rPr>
          <w:sz w:val="24"/>
          <w:szCs w:val="24"/>
        </w:rPr>
        <w:t>Inoltre</w:t>
      </w:r>
      <w:proofErr w:type="gramEnd"/>
      <w:r w:rsidR="00D90351">
        <w:rPr>
          <w:sz w:val="24"/>
          <w:szCs w:val="24"/>
        </w:rPr>
        <w:t xml:space="preserve">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2C103F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2C103F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2C103F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2C103F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Dunque</w:t>
      </w:r>
      <w:proofErr w:type="gramEnd"/>
      <w:r>
        <w:rPr>
          <w:sz w:val="24"/>
          <w:szCs w:val="24"/>
        </w:rPr>
        <w:t xml:space="preserve">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C103F">
                              <w:fldChar w:fldCharType="begin"/>
                            </w:r>
                            <w:r w:rsidR="002C103F">
                              <w:instrText xml:space="preserve"> SEQ Figura \* ARABIC </w:instrText>
                            </w:r>
                            <w:r w:rsidR="002C103F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1</w:t>
                            </w:r>
                            <w:r w:rsidR="002C103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proofErr w:type="gramStart"/>
      <w:r w:rsidR="00DD3F22">
        <w:rPr>
          <w:sz w:val="24"/>
          <w:szCs w:val="24"/>
        </w:rPr>
        <w:t>sulla breadboard</w:t>
      </w:r>
      <w:proofErr w:type="gramEnd"/>
      <w:r w:rsidR="00DD3F22">
        <w:rPr>
          <w:sz w:val="24"/>
          <w:szCs w:val="24"/>
        </w:rPr>
        <w:t xml:space="preserve">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2C103F">
              <w:fldChar w:fldCharType="begin"/>
            </w:r>
            <w:r w:rsidR="002C103F">
              <w:instrText xml:space="preserve"> SEQ Figura \* ARABIC </w:instrText>
            </w:r>
            <w:r w:rsidR="002C103F">
              <w:fldChar w:fldCharType="separate"/>
            </w:r>
            <w:r w:rsidR="002028A8">
              <w:rPr>
                <w:noProof/>
              </w:rPr>
              <w:t>2</w:t>
            </w:r>
            <w:r w:rsidR="002C103F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r w:rsidR="002C103F">
              <w:fldChar w:fldCharType="begin"/>
            </w:r>
            <w:r w:rsidR="002C103F">
              <w:instrText xml:space="preserve"> SEQ Figura \* ARABIC </w:instrText>
            </w:r>
            <w:r w:rsidR="002C103F">
              <w:fldChar w:fldCharType="separate"/>
            </w:r>
            <w:r w:rsidR="002028A8">
              <w:rPr>
                <w:noProof/>
              </w:rPr>
              <w:t>3</w:t>
            </w:r>
            <w:r w:rsidR="002C103F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C103F">
                              <w:fldChar w:fldCharType="begin"/>
                            </w:r>
                            <w:r w:rsidR="002C103F">
                              <w:instrText xml:space="preserve"> SEQ Figura \* ARABIC </w:instrText>
                            </w:r>
                            <w:r w:rsidR="002C103F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4</w:t>
                            </w:r>
                            <w:r w:rsidR="002C103F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proofErr w:type="spellStart"/>
      <w:r w:rsidR="00217C44" w:rsidRPr="00DD3F22">
        <w:rPr>
          <w:i/>
          <w:iCs/>
          <w:sz w:val="24"/>
          <w:szCs w:val="24"/>
        </w:rPr>
        <w:t>function</w:t>
      </w:r>
      <w:proofErr w:type="spellEnd"/>
      <w:r w:rsidR="00217C44" w:rsidRPr="00DD3F22">
        <w:rPr>
          <w:i/>
          <w:iCs/>
          <w:sz w:val="24"/>
          <w:szCs w:val="24"/>
        </w:rPr>
        <w:t xml:space="preserve">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0B514FD7" w:rsidR="00D41213" w:rsidRDefault="00CA61D2" w:rsidP="00456A65">
      <w:pPr>
        <w:spacing w:before="240"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3FD7EE61" wp14:editId="34733AD8">
            <wp:simplePos x="0" y="0"/>
            <wp:positionH relativeFrom="margin">
              <wp:posOffset>3037840</wp:posOffset>
            </wp:positionH>
            <wp:positionV relativeFrom="paragraph">
              <wp:posOffset>371001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104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10D551EF">
            <wp:simplePos x="0" y="0"/>
            <wp:positionH relativeFrom="margin">
              <wp:posOffset>-61595</wp:posOffset>
            </wp:positionH>
            <wp:positionV relativeFrom="paragraph">
              <wp:posOffset>374015</wp:posOffset>
            </wp:positionV>
            <wp:extent cx="3106420" cy="174244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13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213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157B4957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59F4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11EEA58A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</w:t>
      </w:r>
      <w:proofErr w:type="spellStart"/>
      <w:r w:rsidR="00C004F9">
        <w:rPr>
          <w:sz w:val="24"/>
          <w:szCs w:val="24"/>
        </w:rPr>
        <w:t>fit</w:t>
      </w:r>
      <w:proofErr w:type="spellEnd"/>
      <w:r w:rsidR="00C004F9">
        <w:rPr>
          <w:sz w:val="24"/>
          <w:szCs w:val="24"/>
        </w:rPr>
        <w:t xml:space="preserve"> eseguiti con le due curve caratteristiche date </w:t>
      </w:r>
      <w:r w:rsidR="00B607AE">
        <w:rPr>
          <w:sz w:val="24"/>
          <w:szCs w:val="24"/>
        </w:rPr>
        <w:t xml:space="preserve">dalle </w:t>
      </w:r>
      <w:proofErr w:type="spellStart"/>
      <w:r w:rsidR="00B607AE">
        <w:rPr>
          <w:sz w:val="24"/>
          <w:szCs w:val="24"/>
        </w:rPr>
        <w:t>Eq</w:t>
      </w:r>
      <w:proofErr w:type="spellEnd"/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</w:t>
      </w:r>
      <w:r w:rsidR="000613E4">
        <w:rPr>
          <w:rFonts w:eastAsiaTheme="minorEastAsia"/>
          <w:sz w:val="24"/>
          <w:szCs w:val="24"/>
        </w:rPr>
        <w:t>in accordo con il valore atteso.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</w:t>
      </w:r>
      <w:proofErr w:type="spellStart"/>
      <w:r w:rsidR="00EE7CFD">
        <w:rPr>
          <w:rFonts w:eastAsiaTheme="minorEastAsia"/>
          <w:sz w:val="24"/>
          <w:szCs w:val="24"/>
        </w:rPr>
        <w:t>fit</w:t>
      </w:r>
      <w:proofErr w:type="spellEnd"/>
      <w:r w:rsidR="00EE7CFD">
        <w:rPr>
          <w:rFonts w:eastAsiaTheme="minorEastAsia"/>
          <w:sz w:val="24"/>
          <w:szCs w:val="24"/>
        </w:rPr>
        <w:t xml:space="preserve">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 xml:space="preserve">. A questi fit sono associati i valori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</w:t>
      </w:r>
      <w:r w:rsidR="00EE7CFD" w:rsidRPr="00130778">
        <w:rPr>
          <w:rFonts w:eastAsiaTheme="minorEastAsia"/>
          <w:sz w:val="24"/>
          <w:szCs w:val="24"/>
        </w:rPr>
        <w:t>luce</w:t>
      </w:r>
      <w:r w:rsidR="00EE7CFD">
        <w:rPr>
          <w:rFonts w:eastAsiaTheme="minorEastAsia"/>
          <w:sz w:val="24"/>
          <w:szCs w:val="24"/>
        </w:rPr>
        <w:t xml:space="preserve"> una probabile sottostima </w:t>
      </w:r>
      <w:r w:rsidR="006E64DE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7295773F">
            <wp:simplePos x="0" y="0"/>
            <wp:positionH relativeFrom="margin">
              <wp:posOffset>-110160</wp:posOffset>
            </wp:positionH>
            <wp:positionV relativeFrom="paragraph">
              <wp:posOffset>1232535</wp:posOffset>
            </wp:positionV>
            <wp:extent cx="3265805" cy="178054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F1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16DFB4E" wp14:editId="3FE6ACDB">
            <wp:simplePos x="0" y="0"/>
            <wp:positionH relativeFrom="margin">
              <wp:posOffset>3075305</wp:posOffset>
            </wp:positionH>
            <wp:positionV relativeFrom="paragraph">
              <wp:posOffset>1232535</wp:posOffset>
            </wp:positionV>
            <wp:extent cx="3183255" cy="178054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CFD">
        <w:rPr>
          <w:rFonts w:eastAsiaTheme="minorEastAsia"/>
          <w:sz w:val="24"/>
          <w:szCs w:val="24"/>
        </w:rPr>
        <w:t>dell’incertezza.</w:t>
      </w:r>
    </w:p>
    <w:p w14:paraId="30B8170A" w14:textId="0869CF60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02DBF51A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A006D8D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7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D388D">
                              <w:t>linear</w:t>
                            </w:r>
                            <w:r>
                              <w:t xml:space="preserve">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38E2"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A006D8D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7 </w:t>
                      </w:r>
                      <w:proofErr w:type="spellStart"/>
                      <w:r>
                        <w:t>Fit</w:t>
                      </w:r>
                      <w:proofErr w:type="spellEnd"/>
                      <w:r>
                        <w:t xml:space="preserve"> </w:t>
                      </w:r>
                      <w:r w:rsidR="006D388D">
                        <w:t>linear</w:t>
                      </w:r>
                      <w:r>
                        <w:t xml:space="preserve">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5AE9F0" w14:textId="15EE8B37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9B1D24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  <w:r w:rsidR="0052174F">
        <w:rPr>
          <w:rFonts w:eastAsiaTheme="minorEastAsia"/>
          <w:sz w:val="24"/>
          <w:szCs w:val="24"/>
        </w:rPr>
        <w:t xml:space="preserve"> A questi due </w:t>
      </w:r>
      <w:proofErr w:type="spellStart"/>
      <w:r w:rsidR="0052174F">
        <w:rPr>
          <w:rFonts w:eastAsiaTheme="minorEastAsia"/>
          <w:sz w:val="24"/>
          <w:szCs w:val="24"/>
        </w:rPr>
        <w:t>fit</w:t>
      </w:r>
      <w:proofErr w:type="spellEnd"/>
      <w:r w:rsidR="0052174F">
        <w:rPr>
          <w:rFonts w:eastAsiaTheme="minorEastAsia"/>
          <w:sz w:val="24"/>
          <w:szCs w:val="24"/>
        </w:rPr>
        <w:t xml:space="preserve">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B68B1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EB68B1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EB68B1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BF2477">
        <w:rPr>
          <w:rFonts w:eastAsiaTheme="minorEastAsia"/>
          <w:sz w:val="24"/>
          <w:szCs w:val="24"/>
        </w:rPr>
        <w:t xml:space="preserve"> che mostrano un ottimo accordo fra i dati sperimentali </w:t>
      </w:r>
      <w:r w:rsidR="00B27BE7">
        <w:rPr>
          <w:rFonts w:eastAsiaTheme="minorEastAsia"/>
          <w:sz w:val="24"/>
          <w:szCs w:val="24"/>
        </w:rPr>
        <w:t xml:space="preserve">e i </w:t>
      </w:r>
      <w:proofErr w:type="spellStart"/>
      <w:r w:rsidR="00B27BE7">
        <w:rPr>
          <w:rFonts w:eastAsiaTheme="minorEastAsia"/>
          <w:sz w:val="24"/>
          <w:szCs w:val="24"/>
        </w:rPr>
        <w:t>fit</w:t>
      </w:r>
      <w:proofErr w:type="spellEnd"/>
      <w:r w:rsidR="00B27BE7">
        <w:rPr>
          <w:rFonts w:eastAsiaTheme="minorEastAsia"/>
          <w:sz w:val="24"/>
          <w:szCs w:val="24"/>
        </w:rPr>
        <w:t>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fldSimple w:instr=" SEQ Tabell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2C103F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2C103F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2C103F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2C103F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2C103F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2C103F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r w:rsidR="002C103F">
        <w:fldChar w:fldCharType="begin"/>
      </w:r>
      <w:r w:rsidR="002C103F">
        <w:instrText xml:space="preserve"> SEQ ( \* ARABIC </w:instrText>
      </w:r>
      <w:r w:rsidR="002C103F">
        <w:fldChar w:fldCharType="separate"/>
      </w:r>
      <w:r w:rsidR="008F236C">
        <w:rPr>
          <w:noProof/>
        </w:rPr>
        <w:t>6</w:t>
      </w:r>
      <w:r w:rsidR="002C103F">
        <w:rPr>
          <w:noProof/>
        </w:rPr>
        <w:fldChar w:fldCharType="end"/>
      </w:r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2: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2C103F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2C103F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2C103F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2C103F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2C103F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delle funzione</w:t>
                            </w:r>
                            <w:proofErr w:type="gram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</w:t>
                            </w:r>
                            <w:proofErr w:type="gramStart"/>
                            <w:r w:rsidRPr="00420FE0">
                              <w:t>delle funzion</w:t>
                            </w:r>
                            <w:r>
                              <w:t>e</w:t>
                            </w:r>
                            <w:proofErr w:type="gramEnd"/>
                            <w:r>
                              <w:t xml:space="preserve">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</w:t>
                            </w:r>
                            <w:proofErr w:type="gramStart"/>
                            <w:r w:rsidRPr="00420FE0">
                              <w:t>delle funzion</w:t>
                            </w:r>
                            <w:r>
                              <w:t>e</w:t>
                            </w:r>
                            <w:proofErr w:type="gramEnd"/>
                            <w:r>
                              <w:t xml:space="preserve">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2C103F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2C103F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2C103F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2C103F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2C103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1851"/>
    <w:rsid w:val="0001491A"/>
    <w:rsid w:val="00021DD9"/>
    <w:rsid w:val="000551B1"/>
    <w:rsid w:val="000613E4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25104"/>
    <w:rsid w:val="00130778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37F1A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B22E6"/>
    <w:rsid w:val="002C103F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1254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E7FDF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4F2FDC"/>
    <w:rsid w:val="00502F21"/>
    <w:rsid w:val="0050485A"/>
    <w:rsid w:val="00505B0F"/>
    <w:rsid w:val="0052174F"/>
    <w:rsid w:val="005329AD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388D"/>
    <w:rsid w:val="006D62F0"/>
    <w:rsid w:val="006D6B6A"/>
    <w:rsid w:val="006E3636"/>
    <w:rsid w:val="006E64DE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6615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1D2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27BE7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BF247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A61D2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2501"/>
    <w:rsid w:val="00E0328F"/>
    <w:rsid w:val="00E05F7E"/>
    <w:rsid w:val="00E15470"/>
    <w:rsid w:val="00E3666A"/>
    <w:rsid w:val="00E37C38"/>
    <w:rsid w:val="00E44E9D"/>
    <w:rsid w:val="00E46D22"/>
    <w:rsid w:val="00E51918"/>
    <w:rsid w:val="00E620BE"/>
    <w:rsid w:val="00E653EB"/>
    <w:rsid w:val="00E76BE2"/>
    <w:rsid w:val="00E954C1"/>
    <w:rsid w:val="00E95C96"/>
    <w:rsid w:val="00EA02D7"/>
    <w:rsid w:val="00EA623A"/>
    <w:rsid w:val="00EB0189"/>
    <w:rsid w:val="00EB68B1"/>
    <w:rsid w:val="00EC3CBA"/>
    <w:rsid w:val="00EC58A7"/>
    <w:rsid w:val="00EC603A"/>
    <w:rsid w:val="00ED0874"/>
    <w:rsid w:val="00ED5C0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6</Pages>
  <Words>1910</Words>
  <Characters>10888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202</cp:revision>
  <cp:lastPrinted>2022-05-29T21:19:00Z</cp:lastPrinted>
  <dcterms:created xsi:type="dcterms:W3CDTF">2022-05-24T08:20:00Z</dcterms:created>
  <dcterms:modified xsi:type="dcterms:W3CDTF">2022-05-30T19:35:00Z</dcterms:modified>
</cp:coreProperties>
</file>