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E286" w14:textId="77777777" w:rsidR="00E71E41" w:rsidRDefault="00000000">
      <w:pPr>
        <w:pStyle w:val="berschrift1"/>
      </w:pPr>
      <w:r>
        <w:t>Knauf · Tempus Resource</w:t>
      </w:r>
    </w:p>
    <w:p w14:paraId="71ECE094" w14:textId="77777777" w:rsidR="00E71E41" w:rsidRDefault="00000000">
      <w:pPr>
        <w:pStyle w:val="berschrift2"/>
      </w:pPr>
      <w:r>
        <w:t>Project Manager Guide</w:t>
      </w:r>
    </w:p>
    <w:p w14:paraId="27708CEC" w14:textId="77777777" w:rsidR="00E71E41" w:rsidRDefault="00000000">
      <w:r>
        <w:t xml:space="preserve">A focused, hands-on reference for </w:t>
      </w:r>
      <w:r>
        <w:rPr>
          <w:b/>
        </w:rPr>
        <w:t>Project Managers</w:t>
      </w:r>
      <w:r>
        <w:t xml:space="preserve"> and </w:t>
      </w:r>
      <w:r>
        <w:rPr>
          <w:b/>
        </w:rPr>
        <w:t>Service Managers</w:t>
      </w:r>
      <w:r>
        <w:t xml:space="preserve"> who plan their projects and services in Tempus Resource. Every chapter is written for day-to-day use: open it, find the screenshot, follow the steps.</w:t>
      </w:r>
    </w:p>
    <w:p w14:paraId="23DAF6A7" w14:textId="77777777" w:rsidR="00E71E41" w:rsidRDefault="00000000">
      <w:r>
        <w:t>Audience: PM/SM Planners at Knauf · Environment: `</w:t>
      </w:r>
      <w:r>
        <w:rPr>
          <w:rFonts w:ascii="Consolas" w:hAnsi="Consolas"/>
          <w:sz w:val="20"/>
        </w:rPr>
        <w:t>knaufdev.tempus-resource.com</w:t>
      </w:r>
      <w:r>
        <w:t>` · Phase 1 Scope</w:t>
      </w:r>
    </w:p>
    <w:p w14:paraId="223531FF" w14:textId="77777777" w:rsidR="00E71E41" w:rsidRDefault="00000000">
      <w:r>
        <w:t>---</w:t>
      </w:r>
    </w:p>
    <w:p w14:paraId="6DCBC87E" w14:textId="77777777" w:rsidR="00E71E41" w:rsidRDefault="00000000">
      <w:r>
        <w:rPr>
          <w:b/>
        </w:rPr>
        <w:t>Contents at a glance</w:t>
      </w:r>
    </w:p>
    <w:p w14:paraId="3DD78734" w14:textId="77777777" w:rsidR="00E71E41" w:rsidRDefault="00000000">
      <w:pPr>
        <w:ind w:left="360" w:hanging="360"/>
      </w:pPr>
      <w:r>
        <w:rPr>
          <w:b/>
        </w:rPr>
        <w:t>1.</w:t>
      </w:r>
      <w:r>
        <w:rPr>
          <w:b/>
        </w:rPr>
        <w:tab/>
      </w:r>
      <w:r>
        <w:t>Getting started — sign-in and homescreen</w:t>
      </w:r>
    </w:p>
    <w:p w14:paraId="106AB248" w14:textId="77777777" w:rsidR="00E71E41" w:rsidRDefault="00000000">
      <w:pPr>
        <w:ind w:left="360" w:hanging="360"/>
      </w:pPr>
      <w:r>
        <w:rPr>
          <w:b/>
        </w:rPr>
        <w:t>2.</w:t>
      </w:r>
      <w:r>
        <w:rPr>
          <w:b/>
        </w:rPr>
        <w:tab/>
      </w:r>
      <w:r>
        <w:t>Project Management Grid — find, search and open your projects</w:t>
      </w:r>
    </w:p>
    <w:p w14:paraId="68462635" w14:textId="77777777" w:rsidR="00E71E41" w:rsidRDefault="00000000">
      <w:pPr>
        <w:ind w:left="360" w:hanging="360"/>
      </w:pPr>
      <w:r>
        <w:rPr>
          <w:b/>
        </w:rPr>
        <w:t>3.</w:t>
      </w:r>
      <w:r>
        <w:rPr>
          <w:b/>
        </w:rPr>
        <w:tab/>
      </w:r>
      <w:r>
        <w:t>Creating a new project — Regular Project intake</w:t>
      </w:r>
    </w:p>
    <w:p w14:paraId="6634A5FB" w14:textId="77777777" w:rsidR="00E71E41" w:rsidRDefault="00000000">
      <w:pPr>
        <w:ind w:left="360" w:hanging="360"/>
      </w:pPr>
      <w:r>
        <w:rPr>
          <w:b/>
        </w:rPr>
        <w:t>4.</w:t>
      </w:r>
      <w:r>
        <w:rPr>
          <w:b/>
        </w:rPr>
        <w:tab/>
      </w:r>
      <w:r>
        <w:t>Project Attributes — master data you maintain</w:t>
      </w:r>
    </w:p>
    <w:p w14:paraId="0CD06926" w14:textId="77777777" w:rsidR="00E71E41" w:rsidRDefault="00000000">
      <w:pPr>
        <w:ind w:left="360" w:hanging="360"/>
      </w:pPr>
      <w:r>
        <w:rPr>
          <w:b/>
        </w:rPr>
        <w:t>5.</w:t>
      </w:r>
      <w:r>
        <w:rPr>
          <w:b/>
        </w:rPr>
        <w:tab/>
      </w:r>
      <w:r>
        <w:t>Allocations — planning mandays for roles and resources</w:t>
      </w:r>
    </w:p>
    <w:p w14:paraId="325E9DEA" w14:textId="77777777" w:rsidR="00E71E41" w:rsidRDefault="00000000">
      <w:pPr>
        <w:ind w:left="360" w:hanging="360"/>
      </w:pPr>
      <w:r>
        <w:rPr>
          <w:b/>
        </w:rPr>
        <w:t>6.</w:t>
      </w:r>
      <w:r>
        <w:rPr>
          <w:b/>
        </w:rPr>
        <w:tab/>
      </w:r>
      <w:r>
        <w:t>Financials — adding non-labor costs</w:t>
      </w:r>
    </w:p>
    <w:p w14:paraId="72DCDBF1" w14:textId="77777777" w:rsidR="00E71E41" w:rsidRDefault="00000000">
      <w:pPr>
        <w:ind w:left="360" w:hanging="360"/>
      </w:pPr>
      <w:r>
        <w:rPr>
          <w:b/>
        </w:rPr>
        <w:t>7.</w:t>
      </w:r>
      <w:r>
        <w:rPr>
          <w:b/>
        </w:rPr>
        <w:tab/>
      </w:r>
      <w:r>
        <w:t>Save, Checkout &amp; Release — how data is committed to the central plan</w:t>
      </w:r>
    </w:p>
    <w:p w14:paraId="1DEEA6C3" w14:textId="77777777" w:rsidR="00E71E41" w:rsidRDefault="00000000">
      <w:pPr>
        <w:ind w:left="360" w:hanging="360"/>
      </w:pPr>
      <w:r>
        <w:rPr>
          <w:b/>
        </w:rPr>
        <w:t>8.</w:t>
      </w:r>
      <w:r>
        <w:rPr>
          <w:b/>
        </w:rPr>
        <w:tab/>
      </w:r>
      <w:r>
        <w:t>Reports — opening and reading the reports built for you</w:t>
      </w:r>
    </w:p>
    <w:p w14:paraId="67804434" w14:textId="77777777" w:rsidR="00E71E41" w:rsidRDefault="00000000">
      <w:pPr>
        <w:ind w:left="360" w:hanging="360"/>
      </w:pPr>
      <w:r>
        <w:rPr>
          <w:b/>
        </w:rPr>
        <w:t>9.</w:t>
      </w:r>
      <w:r>
        <w:rPr>
          <w:b/>
        </w:rPr>
        <w:tab/>
      </w:r>
      <w:r>
        <w:t>Quick reference — icons, FAQs, troubleshooting</w:t>
      </w:r>
    </w:p>
    <w:p w14:paraId="3EC57607" w14:textId="77777777" w:rsidR="00E71E41" w:rsidRDefault="00000000">
      <w:r>
        <w:t>---</w:t>
      </w:r>
    </w:p>
    <w:p w14:paraId="384DBD0A" w14:textId="77777777" w:rsidR="00E71E41" w:rsidRDefault="00000000">
      <w:r>
        <w:rPr>
          <w:i/>
        </w:rPr>
        <w:t>Document version: 1.0 · Built from the Knauf sandbox using the PM/SM (Dummy) login. Screenshots reflect the UI that PM/SMs actually see — the Resource Manager (RM) interface is intentionally not covered in this guide.</w:t>
      </w:r>
    </w:p>
    <w:p w14:paraId="195A01F3" w14:textId="77777777" w:rsidR="00E71E41" w:rsidRDefault="00000000">
      <w:r>
        <w:br w:type="page"/>
      </w:r>
    </w:p>
    <w:p w14:paraId="2D098E89" w14:textId="77777777" w:rsidR="00E71E41" w:rsidRDefault="00000000">
      <w:pPr>
        <w:pStyle w:val="berschrift1"/>
      </w:pPr>
      <w:r>
        <w:lastRenderedPageBreak/>
        <w:t>Contents</w:t>
      </w:r>
    </w:p>
    <w:p w14:paraId="62ADEDA4" w14:textId="77777777" w:rsidR="00E71E41" w:rsidRDefault="00000000">
      <w:r>
        <w:t xml:space="preserve">The table of contents below is generated live by Microsoft Word — right-click inside it and choose </w:t>
      </w:r>
      <w:r>
        <w:rPr>
          <w:b/>
        </w:rPr>
        <w:t>Update Field</w:t>
      </w:r>
      <w:r>
        <w:t xml:space="preserve"> to refresh it after the document has been changed. It mirrors the heading structure of every chapter and supports </w:t>
      </w:r>
      <w:r>
        <w:rPr>
          <w:b/>
        </w:rPr>
        <w:t>Ctrl + Click</w:t>
      </w:r>
      <w:r>
        <w:t xml:space="preserve"> to jump directly to a section.</w:t>
      </w:r>
    </w:p>
    <w:p w14:paraId="45829E8B" w14:textId="77777777" w:rsidR="00E71E41" w:rsidRDefault="00000000">
      <w:r>
        <w:fldChar w:fldCharType="begin"/>
      </w:r>
      <w:r>
        <w:instrText>TOC \o "1-2" \h \z \u</w:instrText>
      </w:r>
      <w:r>
        <w:fldChar w:fldCharType="separate"/>
      </w:r>
      <w:r>
        <w:t>Right-click here and choose 'Update Field' (or press F9) to build the table of contents.</w:t>
      </w:r>
      <w:r>
        <w:fldChar w:fldCharType="end"/>
      </w:r>
    </w:p>
    <w:p w14:paraId="3F091EE6" w14:textId="77777777" w:rsidR="00E71E41" w:rsidRDefault="00000000">
      <w:r>
        <w:br w:type="page"/>
      </w:r>
    </w:p>
    <w:p w14:paraId="5BF346AD" w14:textId="77777777" w:rsidR="00E71E41" w:rsidRDefault="00000000">
      <w:pPr>
        <w:pStyle w:val="berschrift1"/>
      </w:pPr>
      <w:r>
        <w:lastRenderedPageBreak/>
        <w:t>1. Getting started</w:t>
      </w:r>
    </w:p>
    <w:p w14:paraId="1EEB54FC" w14:textId="77777777" w:rsidR="00E71E41" w:rsidRDefault="00000000">
      <w:pPr>
        <w:pStyle w:val="berschrift2"/>
      </w:pPr>
      <w:r>
        <w:t>Signing in</w:t>
      </w:r>
    </w:p>
    <w:p w14:paraId="4527FDDF" w14:textId="77777777" w:rsidR="00E71E41" w:rsidRDefault="00000000">
      <w:r>
        <w:t>Open `</w:t>
      </w:r>
      <w:r>
        <w:rPr>
          <w:rFonts w:ascii="Consolas" w:hAnsi="Consolas"/>
          <w:sz w:val="20"/>
        </w:rPr>
        <w:t>knaufdev.tempus-resource.com</w:t>
      </w:r>
      <w:r>
        <w:t xml:space="preserve">` in your browser. Knauf uses </w:t>
      </w:r>
      <w:r>
        <w:rPr>
          <w:b/>
        </w:rPr>
        <w:t>single sign-on (SSO)</w:t>
      </w:r>
      <w:r>
        <w:t xml:space="preserve">, so you will be redirected to the corporate identity provider — sign in with your Knauf account exactly as you would for any other internal tool. If you accidentally land on the local Tempus login screen, just click </w:t>
      </w:r>
      <w:r>
        <w:rPr>
          <w:b/>
        </w:rPr>
        <w:t>Continue with SSO</w:t>
      </w:r>
      <w:r>
        <w:t xml:space="preserve"> and you will be forwarded correctly. As soon as the authentication completes, Tempus Resource opens on your personal homescreen.</w:t>
      </w:r>
    </w:p>
    <w:p w14:paraId="2A4321F0" w14:textId="77777777" w:rsidR="00E71E41" w:rsidRDefault="00000000">
      <w:pPr>
        <w:pStyle w:val="berschrift2"/>
      </w:pPr>
      <w:r>
        <w:t>The homescreen</w:t>
      </w:r>
    </w:p>
    <w:p w14:paraId="6C79CA6D" w14:textId="77777777" w:rsidR="00E71E41" w:rsidRDefault="00000000">
      <w:r>
        <w:t xml:space="preserve">The homescreen is your starting point every time you launch Tempus. As a Project or Service Manager you see exactly </w:t>
      </w:r>
      <w:r>
        <w:rPr>
          <w:b/>
        </w:rPr>
        <w:t>two tiles</w:t>
      </w:r>
      <w:r>
        <w:t>:</w:t>
      </w:r>
    </w:p>
    <w:p w14:paraId="1757BA6D" w14:textId="77777777" w:rsidR="00E71E41" w:rsidRDefault="00000000">
      <w:pPr>
        <w:jc w:val="center"/>
      </w:pPr>
      <w:r>
        <w:rPr>
          <w:noProof/>
        </w:rPr>
        <w:drawing>
          <wp:inline distT="0" distB="0" distL="0" distR="0" wp14:anchorId="489529B7" wp14:editId="1D6E2D6B">
            <wp:extent cx="3659359"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screen_pmsm.png"/>
                    <pic:cNvPicPr/>
                  </pic:nvPicPr>
                  <pic:blipFill>
                    <a:blip r:embed="rId8"/>
                    <a:stretch>
                      <a:fillRect/>
                    </a:stretch>
                  </pic:blipFill>
                  <pic:spPr>
                    <a:xfrm>
                      <a:off x="0" y="0"/>
                      <a:ext cx="3659359" cy="3302000"/>
                    </a:xfrm>
                    <a:prstGeom prst="rect">
                      <a:avLst/>
                    </a:prstGeom>
                  </pic:spPr>
                </pic:pic>
              </a:graphicData>
            </a:graphic>
          </wp:inline>
        </w:drawing>
      </w:r>
    </w:p>
    <w:p w14:paraId="1B97A09F" w14:textId="77777777" w:rsidR="00E71E41" w:rsidRDefault="00000000">
      <w:pPr>
        <w:jc w:val="center"/>
      </w:pPr>
      <w:r>
        <w:rPr>
          <w:i/>
          <w:sz w:val="18"/>
        </w:rPr>
        <w:t>PM/SM Homescreen showing two tiles: Project Management and Report Management</w:t>
      </w:r>
    </w:p>
    <w:p w14:paraId="22F9B002" w14:textId="77777777" w:rsidR="00E71E41" w:rsidRDefault="00000000">
      <w:r>
        <w:t xml:space="preserve">The </w:t>
      </w:r>
      <w:r>
        <w:rPr>
          <w:b/>
        </w:rPr>
        <w:t>Project Management</w:t>
      </w:r>
      <w:r>
        <w:t xml:space="preserve"> tile takes you to the grid that lists all projects and services you are allowed to plan; the number in the bottom left of the tile (here: </w:t>
      </w:r>
      <w:r>
        <w:rPr>
          <w:i/>
        </w:rPr>
        <w:t>37</w:t>
      </w:r>
      <w:r>
        <w:t xml:space="preserve">) shows how many records are currently in your scope. The </w:t>
      </w:r>
      <w:r>
        <w:rPr>
          <w:b/>
        </w:rPr>
        <w:t>Report Management</w:t>
      </w:r>
      <w:r>
        <w:t xml:space="preserve"> tile opens the report library where you can run the standard PMO and finance reports built for Knauf. Other roles — for example Resource Managers — see additional tiles such as </w:t>
      </w:r>
      <w:r>
        <w:rPr>
          <w:i/>
        </w:rPr>
        <w:t>Bulk Project Allocation Flatgrid</w:t>
      </w:r>
      <w:r>
        <w:t xml:space="preserve"> here, but PMs and SMs work exclusively from these two entry points.</w:t>
      </w:r>
    </w:p>
    <w:p w14:paraId="5FE1F1B3" w14:textId="77777777" w:rsidR="00E71E41" w:rsidRDefault="00000000">
      <w:pPr>
        <w:pStyle w:val="berschrift2"/>
      </w:pPr>
      <w:r>
        <w:lastRenderedPageBreak/>
        <w:t>The top bar</w:t>
      </w:r>
    </w:p>
    <w:p w14:paraId="7A0249F9" w14:textId="77777777" w:rsidR="00E71E41" w:rsidRDefault="00000000">
      <w:r>
        <w:t xml:space="preserve">Independent of the page you are on, the dark blue bar at the very top of the screen carries the global controls. From left to right, the right-hand side of the top bar exposes a global </w:t>
      </w:r>
      <w:r>
        <w:rPr>
          <w:noProof/>
        </w:rPr>
        <w:drawing>
          <wp:inline distT="0" distB="0" distL="0" distR="0" wp14:anchorId="26D136D7" wp14:editId="4331AF32">
            <wp:extent cx="14732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search.png"/>
                    <pic:cNvPicPr/>
                  </pic:nvPicPr>
                  <pic:blipFill>
                    <a:blip r:embed="rId9"/>
                    <a:stretch>
                      <a:fillRect/>
                    </a:stretch>
                  </pic:blipFill>
                  <pic:spPr>
                    <a:xfrm>
                      <a:off x="0" y="0"/>
                      <a:ext cx="147320" cy="152400"/>
                    </a:xfrm>
                    <a:prstGeom prst="rect">
                      <a:avLst/>
                    </a:prstGeom>
                  </pic:spPr>
                </pic:pic>
              </a:graphicData>
            </a:graphic>
          </wp:inline>
        </w:drawing>
      </w:r>
      <w:r>
        <w:t xml:space="preserve"> search to jump to any project by name, a </w:t>
      </w:r>
      <w:r>
        <w:rPr>
          <w:noProof/>
        </w:rPr>
        <w:drawing>
          <wp:inline distT="0" distB="0" distL="0" distR="0" wp14:anchorId="641AE9E1" wp14:editId="778B38F9">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bell.png"/>
                    <pic:cNvPicPr/>
                  </pic:nvPicPr>
                  <pic:blipFill>
                    <a:blip r:embed="rId10"/>
                    <a:stretch>
                      <a:fillRect/>
                    </a:stretch>
                  </pic:blipFill>
                  <pic:spPr>
                    <a:xfrm>
                      <a:off x="0" y="0"/>
                      <a:ext cx="152400" cy="152400"/>
                    </a:xfrm>
                    <a:prstGeom prst="rect">
                      <a:avLst/>
                    </a:prstGeom>
                  </pic:spPr>
                </pic:pic>
              </a:graphicData>
            </a:graphic>
          </wp:inline>
        </w:drawing>
      </w:r>
      <w:r>
        <w:t xml:space="preserve"> bell that lights up red when you have unread system notifications (resource requests, approvals, comments), a </w:t>
      </w:r>
      <w:r>
        <w:rPr>
          <w:noProof/>
        </w:rPr>
        <w:drawing>
          <wp:inline distT="0" distB="0" distL="0" distR="0" wp14:anchorId="3315994D" wp14:editId="5EA6E794">
            <wp:extent cx="14732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menu.png"/>
                    <pic:cNvPicPr/>
                  </pic:nvPicPr>
                  <pic:blipFill>
                    <a:blip r:embed="rId11"/>
                    <a:stretch>
                      <a:fillRect/>
                    </a:stretch>
                  </pic:blipFill>
                  <pic:spPr>
                    <a:xfrm>
                      <a:off x="0" y="0"/>
                      <a:ext cx="147320" cy="152400"/>
                    </a:xfrm>
                    <a:prstGeom prst="rect">
                      <a:avLst/>
                    </a:prstGeom>
                  </pic:spPr>
                </pic:pic>
              </a:graphicData>
            </a:graphic>
          </wp:inline>
        </w:drawing>
      </w:r>
      <w:r>
        <w:t xml:space="preserve"> hamburger menu with module shortcuts, and a </w:t>
      </w:r>
      <w:r>
        <w:rPr>
          <w:noProof/>
        </w:rPr>
        <w:drawing>
          <wp:inline distT="0" distB="0" distL="0" distR="0" wp14:anchorId="440EF2FB" wp14:editId="0C8C5556">
            <wp:extent cx="14732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help.png"/>
                    <pic:cNvPicPr/>
                  </pic:nvPicPr>
                  <pic:blipFill>
                    <a:blip r:embed="rId12"/>
                    <a:stretch>
                      <a:fillRect/>
                    </a:stretch>
                  </pic:blipFill>
                  <pic:spPr>
                    <a:xfrm>
                      <a:off x="0" y="0"/>
                      <a:ext cx="147320" cy="152400"/>
                    </a:xfrm>
                    <a:prstGeom prst="rect">
                      <a:avLst/>
                    </a:prstGeom>
                  </pic:spPr>
                </pic:pic>
              </a:graphicData>
            </a:graphic>
          </wp:inline>
        </w:drawing>
      </w:r>
      <w:r>
        <w:t xml:space="preserve"> question mark that opens the ProSymmetry Help Center in a new tab. The avatar pill on the far right (here showing `</w:t>
      </w:r>
      <w:r>
        <w:rPr>
          <w:rFonts w:ascii="Consolas" w:hAnsi="Consolas"/>
          <w:sz w:val="20"/>
        </w:rPr>
        <w:t>PM/SM (Dummy)</w:t>
      </w:r>
      <w:r>
        <w:t xml:space="preserve">`) drops down to your </w:t>
      </w:r>
      <w:r>
        <w:rPr>
          <w:b/>
        </w:rPr>
        <w:t>Profile</w:t>
      </w:r>
      <w:r>
        <w:t xml:space="preserve">, </w:t>
      </w:r>
      <w:r>
        <w:rPr>
          <w:b/>
        </w:rPr>
        <w:t>Subscriptions</w:t>
      </w:r>
      <w:r>
        <w:t xml:space="preserve"> and </w:t>
      </w:r>
      <w:r>
        <w:rPr>
          <w:b/>
        </w:rPr>
        <w:t>Logout</w:t>
      </w:r>
      <w:r>
        <w:t xml:space="preserve"> options. These controls do not change between modules, so once you know them you can navigate the whole product without losing your bearings.</w:t>
      </w:r>
    </w:p>
    <w:p w14:paraId="44DCCF84" w14:textId="77777777" w:rsidR="00E71E41" w:rsidRDefault="00000000">
      <w:pPr>
        <w:pStyle w:val="berschrift2"/>
      </w:pPr>
      <w:r>
        <w:t>What to do on day one</w:t>
      </w:r>
    </w:p>
    <w:p w14:paraId="6611D0BE" w14:textId="77777777" w:rsidR="00E71E41" w:rsidRDefault="00000000">
      <w:r>
        <w:t xml:space="preserve">Before you open a project for the first time, spend two minutes on the homescreen and confirm three things: that your tile count matches the number of projects you actually own, that the user badge shows your own name (not a colleague's), and that the bell shows no unread alerts — otherwise you may be working on stale information. Once that is in place, click the </w:t>
      </w:r>
      <w:r>
        <w:rPr>
          <w:b/>
        </w:rPr>
        <w:t>Project Management</w:t>
      </w:r>
      <w:r>
        <w:t xml:space="preserve"> tile and continue with chapter 2.</w:t>
      </w:r>
    </w:p>
    <w:p w14:paraId="54820867" w14:textId="77777777" w:rsidR="00E71E41" w:rsidRDefault="00000000">
      <w:r>
        <w:br w:type="page"/>
      </w:r>
    </w:p>
    <w:p w14:paraId="1B89292B" w14:textId="77777777" w:rsidR="00E71E41" w:rsidRDefault="00000000">
      <w:pPr>
        <w:pStyle w:val="berschrift1"/>
      </w:pPr>
      <w:r>
        <w:lastRenderedPageBreak/>
        <w:t>2. The Project Management Grid</w:t>
      </w:r>
    </w:p>
    <w:p w14:paraId="77FD109D" w14:textId="77777777" w:rsidR="00E71E41" w:rsidRDefault="00000000">
      <w:r>
        <w:t>The Project Management Grid is where 90 % of your time inside Tempus is spent. Every project and service you have access to appears here as a single row; everything you do — opening attributes, planning resources, adding costs, exporting data — starts from this list.</w:t>
      </w:r>
    </w:p>
    <w:p w14:paraId="42734781" w14:textId="77777777" w:rsidR="00E71E41" w:rsidRDefault="00000000">
      <w:pPr>
        <w:jc w:val="center"/>
      </w:pPr>
      <w:r>
        <w:rPr>
          <w:noProof/>
        </w:rPr>
        <w:drawing>
          <wp:inline distT="0" distB="0" distL="0" distR="0" wp14:anchorId="7EB28906" wp14:editId="223FA1A5">
            <wp:extent cx="5348294" cy="482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rid_pmsm_annot.png"/>
                    <pic:cNvPicPr/>
                  </pic:nvPicPr>
                  <pic:blipFill>
                    <a:blip r:embed="rId13"/>
                    <a:stretch>
                      <a:fillRect/>
                    </a:stretch>
                  </pic:blipFill>
                  <pic:spPr>
                    <a:xfrm>
                      <a:off x="0" y="0"/>
                      <a:ext cx="5348294" cy="4826000"/>
                    </a:xfrm>
                    <a:prstGeom prst="rect">
                      <a:avLst/>
                    </a:prstGeom>
                  </pic:spPr>
                </pic:pic>
              </a:graphicData>
            </a:graphic>
          </wp:inline>
        </w:drawing>
      </w:r>
    </w:p>
    <w:p w14:paraId="5B8AEC10" w14:textId="77777777" w:rsidR="00E71E41" w:rsidRDefault="00000000">
      <w:pPr>
        <w:jc w:val="center"/>
      </w:pPr>
      <w:r>
        <w:rPr>
          <w:i/>
          <w:sz w:val="18"/>
        </w:rPr>
        <w:t>Project Management Grid with toolbar callouts</w:t>
      </w:r>
    </w:p>
    <w:p w14:paraId="7B8F1799" w14:textId="77777777" w:rsidR="00E71E41" w:rsidRDefault="00000000">
      <w:r>
        <w:t xml:space="preserve">The numbered highlights in the screenshot above correspond to the six controls you will use every day. Box </w:t>
      </w:r>
      <w:r>
        <w:rPr>
          <w:b/>
        </w:rPr>
        <w:t>(1)</w:t>
      </w:r>
      <w:r>
        <w:t xml:space="preserve"> are the three </w:t>
      </w:r>
      <w:r>
        <w:rPr>
          <w:b/>
        </w:rPr>
        <w:t>view tabs</w:t>
      </w:r>
      <w:r>
        <w:t xml:space="preserve"> Kanban, Grid and Gantt — they switch between a card-based view, the spreadsheet-style grid (default, what you see here) and a timeline. Box </w:t>
      </w:r>
      <w:r>
        <w:rPr>
          <w:b/>
        </w:rPr>
        <w:t>(2)</w:t>
      </w:r>
      <w:r>
        <w:t xml:space="preserve"> is the </w:t>
      </w:r>
      <w:r>
        <w:rPr>
          <w:b/>
        </w:rPr>
        <w:t>Create Project</w:t>
      </w:r>
      <w:r>
        <w:t xml:space="preserve"> button — used in chapter 3 to launch a new regular project. Box </w:t>
      </w:r>
      <w:r>
        <w:rPr>
          <w:b/>
        </w:rPr>
        <w:t>(3)</w:t>
      </w:r>
      <w:r>
        <w:t xml:space="preserve"> is the free-text </w:t>
      </w:r>
      <w:r>
        <w:rPr>
          <w:b/>
        </w:rPr>
        <w:t>Search</w:t>
      </w:r>
      <w:r>
        <w:t xml:space="preserve"> which filters the list in real time as you type. Box </w:t>
      </w:r>
      <w:r>
        <w:rPr>
          <w:b/>
        </w:rPr>
        <w:t>(4)</w:t>
      </w:r>
      <w:r>
        <w:t xml:space="preserve"> combines the </w:t>
      </w:r>
      <w:r>
        <w:rPr>
          <w:b/>
        </w:rPr>
        <w:t>Filter</w:t>
      </w:r>
      <w:r>
        <w:t xml:space="preserve"> </w:t>
      </w:r>
      <w:r>
        <w:rPr>
          <w:noProof/>
        </w:rPr>
        <w:drawing>
          <wp:inline distT="0" distB="0" distL="0" distR="0" wp14:anchorId="7E28F128" wp14:editId="03B890E8">
            <wp:extent cx="14732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search.png"/>
                    <pic:cNvPicPr/>
                  </pic:nvPicPr>
                  <pic:blipFill>
                    <a:blip r:embed="rId9"/>
                    <a:stretch>
                      <a:fillRect/>
                    </a:stretch>
                  </pic:blipFill>
                  <pic:spPr>
                    <a:xfrm>
                      <a:off x="0" y="0"/>
                      <a:ext cx="147320" cy="152400"/>
                    </a:xfrm>
                    <a:prstGeom prst="rect">
                      <a:avLst/>
                    </a:prstGeom>
                  </pic:spPr>
                </pic:pic>
              </a:graphicData>
            </a:graphic>
          </wp:inline>
        </w:drawing>
      </w:r>
      <w:r>
        <w:t xml:space="preserve"> funnel and the </w:t>
      </w:r>
      <w:r>
        <w:rPr>
          <w:b/>
        </w:rPr>
        <w:t>Columns</w:t>
      </w:r>
      <w:r>
        <w:t xml:space="preserve"> chooser which decides what data points are visible as columns. Box </w:t>
      </w:r>
      <w:r>
        <w:rPr>
          <w:b/>
        </w:rPr>
        <w:t>(5)</w:t>
      </w:r>
      <w:r>
        <w:t xml:space="preserve"> is the </w:t>
      </w:r>
      <w:r>
        <w:rPr>
          <w:b/>
        </w:rPr>
        <w:t>Group by</w:t>
      </w:r>
      <w:r>
        <w:t xml:space="preserve"> dropdown that buckets the list (for example </w:t>
      </w:r>
      <w:r>
        <w:rPr>
          <w:i/>
        </w:rPr>
        <w:t>by Portfolio</w:t>
      </w:r>
      <w:r>
        <w:t xml:space="preserve"> or </w:t>
      </w:r>
      <w:r>
        <w:rPr>
          <w:i/>
        </w:rPr>
        <w:t>by Division</w:t>
      </w:r>
      <w:r>
        <w:t xml:space="preserve">). Finally, box </w:t>
      </w:r>
      <w:r>
        <w:rPr>
          <w:b/>
        </w:rPr>
        <w:t>(6)</w:t>
      </w:r>
      <w:r>
        <w:t xml:space="preserve"> is the </w:t>
      </w:r>
      <w:r>
        <w:rPr>
          <w:b/>
        </w:rPr>
        <w:t>Default</w:t>
      </w:r>
      <w:r>
        <w:t xml:space="preserve"> view selector — the gateway to the View Manager that we cover further down.</w:t>
      </w:r>
    </w:p>
    <w:p w14:paraId="3B89371A" w14:textId="77777777" w:rsidR="00E71E41" w:rsidRDefault="00000000">
      <w:pPr>
        <w:pStyle w:val="berschrift2"/>
      </w:pPr>
      <w:r>
        <w:lastRenderedPageBreak/>
        <w:t>Toolbar at a glance</w:t>
      </w:r>
    </w:p>
    <w:p w14:paraId="1A13B74A" w14:textId="77777777" w:rsidR="00E71E41" w:rsidRDefault="00000000">
      <w:r>
        <w:t>The same toolbar zoomed in:</w:t>
      </w:r>
    </w:p>
    <w:p w14:paraId="016B595E" w14:textId="77777777" w:rsidR="00E71E41" w:rsidRDefault="00000000">
      <w:pPr>
        <w:jc w:val="center"/>
      </w:pPr>
      <w:r>
        <w:rPr>
          <w:noProof/>
        </w:rPr>
        <w:drawing>
          <wp:inline distT="0" distB="0" distL="0" distR="0" wp14:anchorId="5A9BD40B" wp14:editId="272299F1">
            <wp:extent cx="8641080" cy="45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olbar_strip.png"/>
                    <pic:cNvPicPr/>
                  </pic:nvPicPr>
                  <pic:blipFill>
                    <a:blip r:embed="rId14"/>
                    <a:stretch>
                      <a:fillRect/>
                    </a:stretch>
                  </pic:blipFill>
                  <pic:spPr>
                    <a:xfrm>
                      <a:off x="0" y="0"/>
                      <a:ext cx="8641080" cy="457200"/>
                    </a:xfrm>
                    <a:prstGeom prst="rect">
                      <a:avLst/>
                    </a:prstGeom>
                  </pic:spPr>
                </pic:pic>
              </a:graphicData>
            </a:graphic>
          </wp:inline>
        </w:drawing>
      </w:r>
    </w:p>
    <w:p w14:paraId="0E502991" w14:textId="77777777" w:rsidR="00E71E41" w:rsidRDefault="00000000">
      <w:pPr>
        <w:jc w:val="center"/>
      </w:pPr>
      <w:r>
        <w:rPr>
          <w:i/>
          <w:sz w:val="18"/>
        </w:rPr>
        <w:t>Toolbar strip detail</w:t>
      </w:r>
    </w:p>
    <w:tbl>
      <w:tblPr>
        <w:tblW w:w="0" w:type="auto"/>
        <w:tblLook w:val="04A0" w:firstRow="1" w:lastRow="0" w:firstColumn="1" w:lastColumn="0" w:noHBand="0" w:noVBand="1"/>
      </w:tblPr>
      <w:tblGrid>
        <w:gridCol w:w="4819"/>
        <w:gridCol w:w="4819"/>
      </w:tblGrid>
      <w:tr w:rsidR="00E71E41" w14:paraId="56C9CE7A" w14:textId="77777777">
        <w:tc>
          <w:tcPr>
            <w:tcW w:w="4819" w:type="dxa"/>
            <w:shd w:val="clear" w:color="auto" w:fill="0B3D91"/>
          </w:tcPr>
          <w:p w14:paraId="34575EEB" w14:textId="77777777" w:rsidR="00E71E41" w:rsidRDefault="00000000">
            <w:r>
              <w:rPr>
                <w:b/>
                <w:color w:val="FFFFFF"/>
                <w:sz w:val="20"/>
              </w:rPr>
              <w:t>Element</w:t>
            </w:r>
          </w:p>
        </w:tc>
        <w:tc>
          <w:tcPr>
            <w:tcW w:w="4819" w:type="dxa"/>
            <w:shd w:val="clear" w:color="auto" w:fill="0B3D91"/>
          </w:tcPr>
          <w:p w14:paraId="16E1280A" w14:textId="77777777" w:rsidR="00E71E41" w:rsidRDefault="00000000">
            <w:r>
              <w:rPr>
                <w:b/>
                <w:color w:val="FFFFFF"/>
                <w:sz w:val="20"/>
              </w:rPr>
              <w:t>Purpose</w:t>
            </w:r>
          </w:p>
        </w:tc>
      </w:tr>
      <w:tr w:rsidR="00E71E41" w14:paraId="3EF02F7F" w14:textId="77777777">
        <w:tc>
          <w:tcPr>
            <w:tcW w:w="4819" w:type="dxa"/>
          </w:tcPr>
          <w:p w14:paraId="1703016A" w14:textId="77777777" w:rsidR="00E71E41" w:rsidRDefault="00000000">
            <w:r>
              <w:rPr>
                <w:sz w:val="20"/>
              </w:rPr>
              <w:t>`</w:t>
            </w:r>
            <w:r>
              <w:rPr>
                <w:rFonts w:ascii="Consolas" w:hAnsi="Consolas"/>
                <w:sz w:val="20"/>
              </w:rPr>
              <w:t>0/35</w:t>
            </w:r>
            <w:r>
              <w:rPr>
                <w:sz w:val="20"/>
              </w:rPr>
              <w:t>` selection counter</w:t>
            </w:r>
          </w:p>
        </w:tc>
        <w:tc>
          <w:tcPr>
            <w:tcW w:w="4819" w:type="dxa"/>
          </w:tcPr>
          <w:p w14:paraId="695A0EA1" w14:textId="77777777" w:rsidR="00E71E41" w:rsidRDefault="00000000">
            <w:r>
              <w:rPr>
                <w:sz w:val="20"/>
              </w:rPr>
              <w:t>Number of currently selected rows vs. total. Stays at `</w:t>
            </w:r>
            <w:r>
              <w:rPr>
                <w:rFonts w:ascii="Consolas" w:hAnsi="Consolas"/>
                <w:sz w:val="20"/>
              </w:rPr>
              <w:t>0/</w:t>
            </w:r>
            <w:r>
              <w:rPr>
                <w:sz w:val="20"/>
              </w:rPr>
              <w:t>` until you tick a row.</w:t>
            </w:r>
          </w:p>
        </w:tc>
      </w:tr>
      <w:tr w:rsidR="00E71E41" w14:paraId="5EDD8197" w14:textId="77777777">
        <w:tc>
          <w:tcPr>
            <w:tcW w:w="4819" w:type="dxa"/>
            <w:shd w:val="clear" w:color="auto" w:fill="F5F7FB"/>
          </w:tcPr>
          <w:p w14:paraId="1F5B0264" w14:textId="77777777" w:rsidR="00E71E41" w:rsidRDefault="00000000">
            <w:r>
              <w:rPr>
                <w:b/>
                <w:sz w:val="20"/>
              </w:rPr>
              <w:t>Create Project</w:t>
            </w:r>
          </w:p>
        </w:tc>
        <w:tc>
          <w:tcPr>
            <w:tcW w:w="4819" w:type="dxa"/>
            <w:shd w:val="clear" w:color="auto" w:fill="F5F7FB"/>
          </w:tcPr>
          <w:p w14:paraId="01777559" w14:textId="77777777" w:rsidR="00E71E41" w:rsidRDefault="00000000">
            <w:r>
              <w:rPr>
                <w:sz w:val="20"/>
              </w:rPr>
              <w:t xml:space="preserve">Opens the </w:t>
            </w:r>
            <w:r>
              <w:rPr>
                <w:i/>
                <w:sz w:val="20"/>
              </w:rPr>
              <w:t>Regular Project</w:t>
            </w:r>
            <w:r>
              <w:rPr>
                <w:sz w:val="20"/>
              </w:rPr>
              <w:t xml:space="preserve"> intake form (chapter 3). Available to PM/SMs only.</w:t>
            </w:r>
          </w:p>
        </w:tc>
      </w:tr>
      <w:tr w:rsidR="00E71E41" w14:paraId="4D9CECFE" w14:textId="77777777">
        <w:tc>
          <w:tcPr>
            <w:tcW w:w="4819" w:type="dxa"/>
          </w:tcPr>
          <w:p w14:paraId="72C168C7" w14:textId="77777777" w:rsidR="00E71E41" w:rsidRDefault="00000000">
            <w:r>
              <w:rPr>
                <w:noProof/>
                <w:sz w:val="20"/>
              </w:rPr>
              <w:drawing>
                <wp:inline distT="0" distB="0" distL="0" distR="0" wp14:anchorId="75787443" wp14:editId="291113A5">
                  <wp:extent cx="14732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search.png"/>
                          <pic:cNvPicPr/>
                        </pic:nvPicPr>
                        <pic:blipFill>
                          <a:blip r:embed="rId9"/>
                          <a:stretch>
                            <a:fillRect/>
                          </a:stretch>
                        </pic:blipFill>
                        <pic:spPr>
                          <a:xfrm>
                            <a:off x="0" y="0"/>
                            <a:ext cx="147320" cy="152400"/>
                          </a:xfrm>
                          <a:prstGeom prst="rect">
                            <a:avLst/>
                          </a:prstGeom>
                        </pic:spPr>
                      </pic:pic>
                    </a:graphicData>
                  </a:graphic>
                </wp:inline>
              </w:drawing>
            </w:r>
            <w:r>
              <w:rPr>
                <w:sz w:val="20"/>
              </w:rPr>
              <w:t xml:space="preserve"> Excel icon</w:t>
            </w:r>
          </w:p>
        </w:tc>
        <w:tc>
          <w:tcPr>
            <w:tcW w:w="4819" w:type="dxa"/>
          </w:tcPr>
          <w:p w14:paraId="00DD8751" w14:textId="77777777" w:rsidR="00E71E41" w:rsidRDefault="00000000">
            <w:r>
              <w:rPr>
                <w:sz w:val="20"/>
              </w:rPr>
              <w:t>One-click export of the visible grid to `</w:t>
            </w:r>
            <w:r>
              <w:rPr>
                <w:rFonts w:ascii="Consolas" w:hAnsi="Consolas"/>
                <w:sz w:val="20"/>
              </w:rPr>
              <w:t>.xlsx</w:t>
            </w:r>
            <w:r>
              <w:rPr>
                <w:sz w:val="20"/>
              </w:rPr>
              <w:t>`. Respects active filters and columns.</w:t>
            </w:r>
          </w:p>
        </w:tc>
      </w:tr>
      <w:tr w:rsidR="00E71E41" w14:paraId="59F54755" w14:textId="77777777">
        <w:tc>
          <w:tcPr>
            <w:tcW w:w="4819" w:type="dxa"/>
            <w:shd w:val="clear" w:color="auto" w:fill="F5F7FB"/>
          </w:tcPr>
          <w:p w14:paraId="183C9974" w14:textId="77777777" w:rsidR="00E71E41" w:rsidRDefault="00000000">
            <w:r>
              <w:rPr>
                <w:sz w:val="20"/>
              </w:rPr>
              <w:t>View dropdown (folder icon)</w:t>
            </w:r>
          </w:p>
        </w:tc>
        <w:tc>
          <w:tcPr>
            <w:tcW w:w="4819" w:type="dxa"/>
            <w:shd w:val="clear" w:color="auto" w:fill="F5F7FB"/>
          </w:tcPr>
          <w:p w14:paraId="67D7B986" w14:textId="77777777" w:rsidR="00E71E41" w:rsidRDefault="00000000">
            <w:r>
              <w:rPr>
                <w:sz w:val="20"/>
              </w:rPr>
              <w:t xml:space="preserve">Switches between </w:t>
            </w:r>
            <w:r>
              <w:rPr>
                <w:b/>
                <w:sz w:val="20"/>
              </w:rPr>
              <w:t>saved Views</w:t>
            </w:r>
            <w:r>
              <w:rPr>
                <w:sz w:val="20"/>
              </w:rPr>
              <w:t xml:space="preserve"> — your personal layouts and the public Knauf views.</w:t>
            </w:r>
          </w:p>
        </w:tc>
      </w:tr>
      <w:tr w:rsidR="00E71E41" w14:paraId="46D3961F" w14:textId="77777777">
        <w:tc>
          <w:tcPr>
            <w:tcW w:w="4819" w:type="dxa"/>
          </w:tcPr>
          <w:p w14:paraId="31BE792C" w14:textId="77777777" w:rsidR="00E71E41" w:rsidRDefault="00000000">
            <w:r>
              <w:rPr>
                <w:b/>
                <w:sz w:val="20"/>
              </w:rPr>
              <w:t>Search</w:t>
            </w:r>
          </w:p>
        </w:tc>
        <w:tc>
          <w:tcPr>
            <w:tcW w:w="4819" w:type="dxa"/>
          </w:tcPr>
          <w:p w14:paraId="733B5909" w14:textId="77777777" w:rsidR="00E71E41" w:rsidRDefault="00000000">
            <w:r>
              <w:rPr>
                <w:sz w:val="20"/>
              </w:rPr>
              <w:t>Free-text filter that matches the project name.</w:t>
            </w:r>
          </w:p>
        </w:tc>
      </w:tr>
      <w:tr w:rsidR="00E71E41" w14:paraId="62775A10" w14:textId="77777777">
        <w:tc>
          <w:tcPr>
            <w:tcW w:w="4819" w:type="dxa"/>
            <w:shd w:val="clear" w:color="auto" w:fill="F5F7FB"/>
          </w:tcPr>
          <w:p w14:paraId="3E32F3A9" w14:textId="77777777" w:rsidR="00E71E41" w:rsidRDefault="00000000">
            <w:r>
              <w:rPr>
                <w:b/>
                <w:sz w:val="20"/>
              </w:rPr>
              <w:t>Filter</w:t>
            </w:r>
          </w:p>
        </w:tc>
        <w:tc>
          <w:tcPr>
            <w:tcW w:w="4819" w:type="dxa"/>
            <w:shd w:val="clear" w:color="auto" w:fill="F5F7FB"/>
          </w:tcPr>
          <w:p w14:paraId="43BA706A" w14:textId="77777777" w:rsidR="00E71E41" w:rsidRDefault="00000000">
            <w:r>
              <w:rPr>
                <w:sz w:val="20"/>
              </w:rPr>
              <w:t xml:space="preserve">Multi-condition filter (for example </w:t>
            </w:r>
            <w:r>
              <w:rPr>
                <w:i/>
                <w:sz w:val="20"/>
              </w:rPr>
              <w:t>Division = Engineering AND Above Red Line = Yes</w:t>
            </w:r>
            <w:r>
              <w:rPr>
                <w:sz w:val="20"/>
              </w:rPr>
              <w:t>).</w:t>
            </w:r>
          </w:p>
        </w:tc>
      </w:tr>
      <w:tr w:rsidR="00E71E41" w14:paraId="63C66FDD" w14:textId="77777777">
        <w:tc>
          <w:tcPr>
            <w:tcW w:w="4819" w:type="dxa"/>
          </w:tcPr>
          <w:p w14:paraId="17C70390" w14:textId="77777777" w:rsidR="00E71E41" w:rsidRDefault="00000000">
            <w:r>
              <w:rPr>
                <w:b/>
                <w:sz w:val="20"/>
              </w:rPr>
              <w:t>Columns</w:t>
            </w:r>
          </w:p>
        </w:tc>
        <w:tc>
          <w:tcPr>
            <w:tcW w:w="4819" w:type="dxa"/>
          </w:tcPr>
          <w:p w14:paraId="48E0666E" w14:textId="77777777" w:rsidR="00E71E41" w:rsidRDefault="00000000">
            <w:r>
              <w:rPr>
                <w:sz w:val="20"/>
              </w:rPr>
              <w:t>Toggle which attributes show up as columns.</w:t>
            </w:r>
          </w:p>
        </w:tc>
      </w:tr>
      <w:tr w:rsidR="00E71E41" w14:paraId="37FAC740" w14:textId="77777777">
        <w:tc>
          <w:tcPr>
            <w:tcW w:w="4819" w:type="dxa"/>
            <w:shd w:val="clear" w:color="auto" w:fill="F5F7FB"/>
          </w:tcPr>
          <w:p w14:paraId="4EBE4C53" w14:textId="77777777" w:rsidR="00E71E41" w:rsidRDefault="00000000">
            <w:r>
              <w:rPr>
                <w:b/>
                <w:sz w:val="20"/>
              </w:rPr>
              <w:t>Group by</w:t>
            </w:r>
          </w:p>
        </w:tc>
        <w:tc>
          <w:tcPr>
            <w:tcW w:w="4819" w:type="dxa"/>
            <w:shd w:val="clear" w:color="auto" w:fill="F5F7FB"/>
          </w:tcPr>
          <w:p w14:paraId="7582DA3A" w14:textId="77777777" w:rsidR="00E71E41" w:rsidRDefault="00000000">
            <w:r>
              <w:rPr>
                <w:sz w:val="20"/>
              </w:rPr>
              <w:t>Adds an outer grouping level (collapsible).</w:t>
            </w:r>
          </w:p>
        </w:tc>
      </w:tr>
      <w:tr w:rsidR="00E71E41" w14:paraId="271D9A06" w14:textId="77777777">
        <w:tc>
          <w:tcPr>
            <w:tcW w:w="4819" w:type="dxa"/>
          </w:tcPr>
          <w:p w14:paraId="2ABAB68C" w14:textId="77777777" w:rsidR="00E71E41" w:rsidRDefault="00000000">
            <w:r>
              <w:rPr>
                <w:b/>
                <w:sz w:val="20"/>
              </w:rPr>
              <w:t>Default</w:t>
            </w:r>
          </w:p>
        </w:tc>
        <w:tc>
          <w:tcPr>
            <w:tcW w:w="4819" w:type="dxa"/>
          </w:tcPr>
          <w:p w14:paraId="57F9D999" w14:textId="77777777" w:rsidR="00E71E41" w:rsidRDefault="00000000">
            <w:r>
              <w:rPr>
                <w:sz w:val="20"/>
              </w:rPr>
              <w:t>The current view, click to open the View Manager (see below).</w:t>
            </w:r>
          </w:p>
        </w:tc>
      </w:tr>
    </w:tbl>
    <w:p w14:paraId="35AAB10C" w14:textId="77777777" w:rsidR="00E71E41" w:rsidRDefault="00E71E41"/>
    <w:p w14:paraId="7056DD2B" w14:textId="77777777" w:rsidR="00E71E41" w:rsidRDefault="00000000">
      <w:pPr>
        <w:pStyle w:val="berschrift2"/>
      </w:pPr>
      <w:r>
        <w:t>Searching and filtering</w:t>
      </w:r>
    </w:p>
    <w:p w14:paraId="4F6FA338" w14:textId="77777777" w:rsidR="00E71E41" w:rsidRDefault="00000000">
      <w:r>
        <w:t xml:space="preserve">For ad-hoc lookups, the easiest path is the </w:t>
      </w:r>
      <w:r>
        <w:rPr>
          <w:b/>
        </w:rPr>
        <w:t>Search</w:t>
      </w:r>
      <w:r>
        <w:t xml:space="preserve"> box: type any fragment of the project name and the grid narrows down instantly. For recurring lookups — for example </w:t>
      </w:r>
      <w:r>
        <w:rPr>
          <w:i/>
        </w:rPr>
        <w:t>all my projects above the red line in Engineering</w:t>
      </w:r>
      <w:r>
        <w:t xml:space="preserve"> — use </w:t>
      </w:r>
      <w:r>
        <w:rPr>
          <w:b/>
        </w:rPr>
        <w:t>Filter</w:t>
      </w:r>
      <w:r>
        <w:t xml:space="preserve"> to build the condition once and save it as part of a view. Filters are AND-combined; remove a single condition by clicking the small `</w:t>
      </w:r>
      <w:r>
        <w:rPr>
          <w:rFonts w:ascii="Consolas" w:hAnsi="Consolas"/>
          <w:sz w:val="20"/>
        </w:rPr>
        <w:t>×</w:t>
      </w:r>
      <w:r>
        <w:t>` next to the chip below the toolbar.</w:t>
      </w:r>
    </w:p>
    <w:p w14:paraId="08D58B11" w14:textId="77777777" w:rsidR="00E71E41" w:rsidRDefault="00000000">
      <w:pPr>
        <w:pStyle w:val="berschrift2"/>
      </w:pPr>
      <w:r>
        <w:t>Tabs: Kanban, Grid, Gantt</w:t>
      </w:r>
    </w:p>
    <w:p w14:paraId="0344B7FD" w14:textId="77777777" w:rsidR="00E71E41" w:rsidRDefault="00000000">
      <w:pPr>
        <w:jc w:val="center"/>
      </w:pPr>
      <w:r>
        <w:rPr>
          <w:noProof/>
        </w:rPr>
        <w:drawing>
          <wp:inline distT="0" distB="0" distL="0" distR="0" wp14:anchorId="0F2B6A99" wp14:editId="0FA53844">
            <wp:extent cx="2331720" cy="45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bs_strip.png"/>
                    <pic:cNvPicPr/>
                  </pic:nvPicPr>
                  <pic:blipFill>
                    <a:blip r:embed="rId15"/>
                    <a:stretch>
                      <a:fillRect/>
                    </a:stretch>
                  </pic:blipFill>
                  <pic:spPr>
                    <a:xfrm>
                      <a:off x="0" y="0"/>
                      <a:ext cx="2331720" cy="457200"/>
                    </a:xfrm>
                    <a:prstGeom prst="rect">
                      <a:avLst/>
                    </a:prstGeom>
                  </pic:spPr>
                </pic:pic>
              </a:graphicData>
            </a:graphic>
          </wp:inline>
        </w:drawing>
      </w:r>
    </w:p>
    <w:p w14:paraId="7E5309D9" w14:textId="77777777" w:rsidR="00E71E41" w:rsidRDefault="00000000">
      <w:pPr>
        <w:jc w:val="center"/>
      </w:pPr>
      <w:r>
        <w:rPr>
          <w:i/>
          <w:sz w:val="18"/>
        </w:rPr>
        <w:lastRenderedPageBreak/>
        <w:t>Tabs Kanban / Grid / Gantt</w:t>
      </w:r>
    </w:p>
    <w:p w14:paraId="52ADB8BA" w14:textId="77777777" w:rsidR="00E71E41" w:rsidRDefault="00000000">
      <w:r>
        <w:t xml:space="preserve">The </w:t>
      </w:r>
      <w:r>
        <w:rPr>
          <w:b/>
        </w:rPr>
        <w:t>Grid</w:t>
      </w:r>
      <w:r>
        <w:t xml:space="preserve"> tab is the default and the most useful working surface — you can see many attributes side by side and edit them inline. The </w:t>
      </w:r>
      <w:r>
        <w:rPr>
          <w:b/>
        </w:rPr>
        <w:t>Kanban</w:t>
      </w:r>
      <w:r>
        <w:t xml:space="preserve"> tab presents the same projects as cards, grouped by </w:t>
      </w:r>
      <w:r>
        <w:rPr>
          <w:i/>
        </w:rPr>
        <w:t>Portfolio Status</w:t>
      </w:r>
      <w:r>
        <w:t xml:space="preserve"> by default, which is helpful when triaging the portfolio. The </w:t>
      </w:r>
      <w:r>
        <w:rPr>
          <w:b/>
        </w:rPr>
        <w:t>Gantt</w:t>
      </w:r>
      <w:r>
        <w:t xml:space="preserve"> tab plots planned start and end dates on a horizontal timeline; it is read-only here and meant for sharing visual schedules with stakeholders.</w:t>
      </w:r>
    </w:p>
    <w:p w14:paraId="6D94A1BE" w14:textId="77777777" w:rsidR="00E71E41" w:rsidRDefault="00000000">
      <w:pPr>
        <w:pStyle w:val="berschrift2"/>
      </w:pPr>
      <w:r>
        <w:t>Working with Views</w:t>
      </w:r>
    </w:p>
    <w:p w14:paraId="7A0DDE9F" w14:textId="77777777" w:rsidR="00E71E41" w:rsidRDefault="00000000">
      <w:r>
        <w:t xml:space="preserve">A </w:t>
      </w:r>
      <w:r>
        <w:rPr>
          <w:b/>
        </w:rPr>
        <w:t>View</w:t>
      </w:r>
      <w:r>
        <w:t xml:space="preserve"> is a saved combination of columns, filters, grouping, sort order and grain. Tempus comes with one personal view — your </w:t>
      </w:r>
      <w:r>
        <w:rPr>
          <w:b/>
        </w:rPr>
        <w:t>Default</w:t>
      </w:r>
      <w:r>
        <w:t xml:space="preserve"> — and any number of public views published by the PMO. Click the </w:t>
      </w:r>
      <w:r>
        <w:rPr>
          <w:b/>
        </w:rPr>
        <w:t>Default</w:t>
      </w:r>
      <w:r>
        <w:t xml:space="preserve"> button on the right of the toolbar to open the View Manager:</w:t>
      </w:r>
    </w:p>
    <w:tbl>
      <w:tblPr>
        <w:tblW w:w="0" w:type="auto"/>
        <w:tblLook w:val="04A0" w:firstRow="1" w:lastRow="0" w:firstColumn="1" w:lastColumn="0" w:noHBand="0" w:noVBand="1"/>
      </w:tblPr>
      <w:tblGrid>
        <w:gridCol w:w="9972"/>
      </w:tblGrid>
      <w:tr w:rsidR="00E71E41" w14:paraId="3BBA8ABC" w14:textId="77777777">
        <w:tc>
          <w:tcPr>
            <w:tcW w:w="9972" w:type="dxa"/>
            <w:tcBorders>
              <w:top w:val="single" w:sz="4" w:space="0" w:color="F2B807"/>
              <w:left w:val="single" w:sz="4" w:space="0" w:color="F2B807"/>
              <w:bottom w:val="single" w:sz="4" w:space="0" w:color="F2B807"/>
              <w:right w:val="single" w:sz="4" w:space="0" w:color="F2B807"/>
            </w:tcBorders>
            <w:shd w:val="clear" w:color="auto" w:fill="FFF8DC"/>
          </w:tcPr>
          <w:p w14:paraId="0122697C" w14:textId="77777777" w:rsidR="00E71E41" w:rsidRDefault="00000000">
            <w:pPr>
              <w:jc w:val="center"/>
            </w:pPr>
            <w:r>
              <w:rPr>
                <w:noProof/>
              </w:rPr>
              <w:drawing>
                <wp:inline distT="0" distB="0" distL="0" distR="0" wp14:anchorId="506C4385" wp14:editId="646735B5">
                  <wp:extent cx="3524250" cy="228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ome_create_view_dropdown.png"/>
                          <pic:cNvPicPr/>
                        </pic:nvPicPr>
                        <pic:blipFill>
                          <a:blip r:embed="rId16"/>
                          <a:stretch>
                            <a:fillRect/>
                          </a:stretch>
                        </pic:blipFill>
                        <pic:spPr>
                          <a:xfrm>
                            <a:off x="0" y="0"/>
                            <a:ext cx="3524250" cy="2286000"/>
                          </a:xfrm>
                          <a:prstGeom prst="rect">
                            <a:avLst/>
                          </a:prstGeom>
                        </pic:spPr>
                      </pic:pic>
                    </a:graphicData>
                  </a:graphic>
                </wp:inline>
              </w:drawing>
            </w:r>
          </w:p>
          <w:p w14:paraId="203566EE" w14:textId="77777777" w:rsidR="00E71E41" w:rsidRDefault="00000000">
            <w:pPr>
              <w:jc w:val="center"/>
            </w:pPr>
            <w:r>
              <w:rPr>
                <w:i/>
                <w:sz w:val="18"/>
              </w:rPr>
              <w:t>The View Manager: drag-handle and lock for private views, star, edit, clone and delete icons; public views (eye icon) live below your private ones.</w:t>
            </w:r>
          </w:p>
        </w:tc>
      </w:tr>
    </w:tbl>
    <w:p w14:paraId="7E691E34" w14:textId="77777777" w:rsidR="00E71E41" w:rsidRDefault="00E71E41"/>
    <w:p w14:paraId="21B8B990" w14:textId="77777777" w:rsidR="00E71E41" w:rsidRDefault="00000000">
      <w:r>
        <w:t xml:space="preserve">The icons inside each row of the View Manager always mean the same thing: </w:t>
      </w:r>
      <w:r>
        <w:rPr>
          <w:noProof/>
        </w:rPr>
        <w:drawing>
          <wp:inline distT="0" distB="0" distL="0" distR="0" wp14:anchorId="66844C46" wp14:editId="283C0CDC">
            <wp:extent cx="133953" cy="21687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rag_handle.png"/>
                    <pic:cNvPicPr/>
                  </pic:nvPicPr>
                  <pic:blipFill>
                    <a:blip r:embed="rId17"/>
                    <a:stretch>
                      <a:fillRect/>
                    </a:stretch>
                  </pic:blipFill>
                  <pic:spPr>
                    <a:xfrm>
                      <a:off x="0" y="0"/>
                      <a:ext cx="137226" cy="222176"/>
                    </a:xfrm>
                    <a:prstGeom prst="rect">
                      <a:avLst/>
                    </a:prstGeom>
                  </pic:spPr>
                </pic:pic>
              </a:graphicData>
            </a:graphic>
          </wp:inline>
        </w:drawing>
      </w:r>
      <w:r>
        <w:t xml:space="preserve"> is the </w:t>
      </w:r>
      <w:r>
        <w:rPr>
          <w:b/>
        </w:rPr>
        <w:t>drag handle</w:t>
      </w:r>
      <w:r>
        <w:t xml:space="preserve"> that lets you reorder the views by importance. </w:t>
      </w:r>
      <w:r>
        <w:rPr>
          <w:noProof/>
        </w:rPr>
        <w:drawing>
          <wp:inline distT="0" distB="0" distL="0" distR="0" wp14:anchorId="4B3A646A" wp14:editId="4676D18D">
            <wp:extent cx="211016" cy="211016"/>
            <wp:effectExtent l="0" t="0" r="508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lock.png"/>
                    <pic:cNvPicPr/>
                  </pic:nvPicPr>
                  <pic:blipFill>
                    <a:blip r:embed="rId18"/>
                    <a:stretch>
                      <a:fillRect/>
                    </a:stretch>
                  </pic:blipFill>
                  <pic:spPr>
                    <a:xfrm>
                      <a:off x="0" y="0"/>
                      <a:ext cx="212903" cy="212903"/>
                    </a:xfrm>
                    <a:prstGeom prst="rect">
                      <a:avLst/>
                    </a:prstGeom>
                  </pic:spPr>
                </pic:pic>
              </a:graphicData>
            </a:graphic>
          </wp:inline>
        </w:drawing>
      </w:r>
      <w:r>
        <w:t xml:space="preserve"> freezes a view so that filter or column changes do </w:t>
      </w:r>
      <w:r>
        <w:rPr>
          <w:b/>
        </w:rPr>
        <w:t>not</w:t>
      </w:r>
      <w:r>
        <w:t xml:space="preserve"> persist — useful while you are demoing data. </w:t>
      </w:r>
      <w:r>
        <w:rPr>
          <w:noProof/>
        </w:rPr>
        <w:drawing>
          <wp:inline distT="0" distB="0" distL="0" distR="0" wp14:anchorId="0124B7C0" wp14:editId="7F7973D6">
            <wp:extent cx="159468" cy="216876"/>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efault_star_filled.png"/>
                    <pic:cNvPicPr/>
                  </pic:nvPicPr>
                  <pic:blipFill>
                    <a:blip r:embed="rId19"/>
                    <a:stretch>
                      <a:fillRect/>
                    </a:stretch>
                  </pic:blipFill>
                  <pic:spPr>
                    <a:xfrm>
                      <a:off x="0" y="0"/>
                      <a:ext cx="163122" cy="221845"/>
                    </a:xfrm>
                    <a:prstGeom prst="rect">
                      <a:avLst/>
                    </a:prstGeom>
                  </pic:spPr>
                </pic:pic>
              </a:graphicData>
            </a:graphic>
          </wp:inline>
        </w:drawing>
      </w:r>
      <w:r>
        <w:t xml:space="preserve"> marks the view that opens automatically when you load this page; click </w:t>
      </w:r>
      <w:r>
        <w:rPr>
          <w:noProof/>
        </w:rPr>
        <w:drawing>
          <wp:inline distT="0" distB="0" distL="0" distR="0" wp14:anchorId="29BDB5BF" wp14:editId="3C6460FB">
            <wp:extent cx="159469" cy="216877"/>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efault_star_outline.png"/>
                    <pic:cNvPicPr/>
                  </pic:nvPicPr>
                  <pic:blipFill>
                    <a:blip r:embed="rId20"/>
                    <a:stretch>
                      <a:fillRect/>
                    </a:stretch>
                  </pic:blipFill>
                  <pic:spPr>
                    <a:xfrm>
                      <a:off x="0" y="0"/>
                      <a:ext cx="160908" cy="218834"/>
                    </a:xfrm>
                    <a:prstGeom prst="rect">
                      <a:avLst/>
                    </a:prstGeom>
                  </pic:spPr>
                </pic:pic>
              </a:graphicData>
            </a:graphic>
          </wp:inline>
        </w:drawing>
      </w:r>
      <w:r>
        <w:t xml:space="preserve"> on a different row to move the star. </w:t>
      </w:r>
      <w:r>
        <w:rPr>
          <w:noProof/>
        </w:rPr>
        <w:drawing>
          <wp:inline distT="0" distB="0" distL="0" distR="0" wp14:anchorId="7F40A54B" wp14:editId="6662E62D">
            <wp:extent cx="149986" cy="175846"/>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edit_pencil.png"/>
                    <pic:cNvPicPr/>
                  </pic:nvPicPr>
                  <pic:blipFill>
                    <a:blip r:embed="rId21"/>
                    <a:stretch>
                      <a:fillRect/>
                    </a:stretch>
                  </pic:blipFill>
                  <pic:spPr>
                    <a:xfrm>
                      <a:off x="0" y="0"/>
                      <a:ext cx="163591" cy="191797"/>
                    </a:xfrm>
                    <a:prstGeom prst="rect">
                      <a:avLst/>
                    </a:prstGeom>
                  </pic:spPr>
                </pic:pic>
              </a:graphicData>
            </a:graphic>
          </wp:inline>
        </w:drawing>
      </w:r>
      <w:r>
        <w:t xml:space="preserve"> opens the view definition; </w:t>
      </w:r>
      <w:r>
        <w:rPr>
          <w:noProof/>
        </w:rPr>
        <w:drawing>
          <wp:inline distT="0" distB="0" distL="0" distR="0" wp14:anchorId="490B94DB" wp14:editId="66268046">
            <wp:extent cx="184983" cy="216877"/>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lone.png"/>
                    <pic:cNvPicPr/>
                  </pic:nvPicPr>
                  <pic:blipFill>
                    <a:blip r:embed="rId22"/>
                    <a:stretch>
                      <a:fillRect/>
                    </a:stretch>
                  </pic:blipFill>
                  <pic:spPr>
                    <a:xfrm>
                      <a:off x="0" y="0"/>
                      <a:ext cx="186999" cy="219241"/>
                    </a:xfrm>
                    <a:prstGeom prst="rect">
                      <a:avLst/>
                    </a:prstGeom>
                  </pic:spPr>
                </pic:pic>
              </a:graphicData>
            </a:graphic>
          </wp:inline>
        </w:drawing>
      </w:r>
      <w:r>
        <w:t xml:space="preserve"> duplicates a view, which is the recommended way to "edit" a public view (you cannot save changes back to a public view directly). </w:t>
      </w:r>
      <w:r>
        <w:rPr>
          <w:noProof/>
        </w:rPr>
        <w:drawing>
          <wp:inline distT="0" distB="0" distL="0" distR="0" wp14:anchorId="11F24A71" wp14:editId="24D3D404">
            <wp:extent cx="164709" cy="193108"/>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elete_trash.png"/>
                    <pic:cNvPicPr/>
                  </pic:nvPicPr>
                  <pic:blipFill>
                    <a:blip r:embed="rId23"/>
                    <a:stretch>
                      <a:fillRect/>
                    </a:stretch>
                  </pic:blipFill>
                  <pic:spPr>
                    <a:xfrm>
                      <a:off x="0" y="0"/>
                      <a:ext cx="171594" cy="201180"/>
                    </a:xfrm>
                    <a:prstGeom prst="rect">
                      <a:avLst/>
                    </a:prstGeom>
                  </pic:spPr>
                </pic:pic>
              </a:graphicData>
            </a:graphic>
          </wp:inline>
        </w:drawing>
      </w:r>
      <w:r>
        <w:t xml:space="preserve"> removes a private view permanently — only visible on views you own. The </w:t>
      </w:r>
      <w:r>
        <w:rPr>
          <w:noProof/>
        </w:rPr>
        <w:drawing>
          <wp:inline distT="0" distB="0" distL="0" distR="0" wp14:anchorId="07DD8B95" wp14:editId="67CB6FE9">
            <wp:extent cx="187570" cy="187570"/>
            <wp:effectExtent l="0" t="0" r="317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ublic_eye.png"/>
                    <pic:cNvPicPr/>
                  </pic:nvPicPr>
                  <pic:blipFill>
                    <a:blip r:embed="rId24"/>
                    <a:stretch>
                      <a:fillRect/>
                    </a:stretch>
                  </pic:blipFill>
                  <pic:spPr>
                    <a:xfrm>
                      <a:off x="0" y="0"/>
                      <a:ext cx="188366" cy="188366"/>
                    </a:xfrm>
                    <a:prstGeom prst="rect">
                      <a:avLst/>
                    </a:prstGeom>
                  </pic:spPr>
                </pic:pic>
              </a:graphicData>
            </a:graphic>
          </wp:inline>
        </w:drawing>
      </w:r>
      <w:r>
        <w:t xml:space="preserve"> eye marker at the bottom of a row identifies a </w:t>
      </w:r>
      <w:r>
        <w:rPr>
          <w:b/>
        </w:rPr>
        <w:t>public view</w:t>
      </w:r>
      <w:r>
        <w:t>.</w:t>
      </w:r>
    </w:p>
    <w:p w14:paraId="46B388C7" w14:textId="77777777" w:rsidR="00E71E41" w:rsidRDefault="00000000">
      <w:r>
        <w:rPr>
          <w:b/>
        </w:rPr>
        <w:t>Tip.</w:t>
      </w:r>
      <w:r>
        <w:t xml:space="preserve"> If you want to tweak one of the Knauf-standard views, always start by cloning it with </w:t>
      </w:r>
      <w:r>
        <w:rPr>
          <w:noProof/>
        </w:rPr>
        <w:drawing>
          <wp:inline distT="0" distB="0" distL="0" distR="0" wp14:anchorId="1B89F935" wp14:editId="30AACB7C">
            <wp:extent cx="179983" cy="211015"/>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lone.png"/>
                    <pic:cNvPicPr/>
                  </pic:nvPicPr>
                  <pic:blipFill>
                    <a:blip r:embed="rId22"/>
                    <a:stretch>
                      <a:fillRect/>
                    </a:stretch>
                  </pic:blipFill>
                  <pic:spPr>
                    <a:xfrm>
                      <a:off x="0" y="0"/>
                      <a:ext cx="182570" cy="214048"/>
                    </a:xfrm>
                    <a:prstGeom prst="rect">
                      <a:avLst/>
                    </a:prstGeom>
                  </pic:spPr>
                </pic:pic>
              </a:graphicData>
            </a:graphic>
          </wp:inline>
        </w:drawing>
      </w:r>
      <w:r>
        <w:t xml:space="preserve">; then edit the copy and, optionally, give it your </w:t>
      </w:r>
      <w:r>
        <w:rPr>
          <w:noProof/>
        </w:rPr>
        <w:drawing>
          <wp:inline distT="0" distB="0" distL="0" distR="0" wp14:anchorId="4723D5D8" wp14:editId="55D109F9">
            <wp:extent cx="150849" cy="205154"/>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efault_star_filled.png"/>
                    <pic:cNvPicPr/>
                  </pic:nvPicPr>
                  <pic:blipFill>
                    <a:blip r:embed="rId19"/>
                    <a:stretch>
                      <a:fillRect/>
                    </a:stretch>
                  </pic:blipFill>
                  <pic:spPr>
                    <a:xfrm>
                      <a:off x="0" y="0"/>
                      <a:ext cx="153298" cy="208484"/>
                    </a:xfrm>
                    <a:prstGeom prst="rect">
                      <a:avLst/>
                    </a:prstGeom>
                  </pic:spPr>
                </pic:pic>
              </a:graphicData>
            </a:graphic>
          </wp:inline>
        </w:drawing>
      </w:r>
      <w:r>
        <w:t xml:space="preserve"> so it becomes your personal default.</w:t>
      </w:r>
    </w:p>
    <w:p w14:paraId="70930E5C" w14:textId="77777777" w:rsidR="00E71E41" w:rsidRDefault="00000000">
      <w:r>
        <w:lastRenderedPageBreak/>
        <w:br w:type="page"/>
      </w:r>
    </w:p>
    <w:p w14:paraId="549AD7FB" w14:textId="77777777" w:rsidR="00E71E41" w:rsidRDefault="00000000">
      <w:pPr>
        <w:pStyle w:val="berschrift1"/>
      </w:pPr>
      <w:r>
        <w:lastRenderedPageBreak/>
        <w:t>3. Creating a project</w:t>
      </w:r>
    </w:p>
    <w:p w14:paraId="535C9C10" w14:textId="77777777" w:rsidR="00E71E41" w:rsidRDefault="00000000">
      <w:r>
        <w:t xml:space="preserve">Every initiative you want to plan in Tempus — be it a true project or a service — starts with the same intake form. As a PM/SM you only ever see one entry, </w:t>
      </w:r>
      <w:r>
        <w:rPr>
          <w:b/>
        </w:rPr>
        <w:t>Regular Project</w:t>
      </w:r>
      <w:r>
        <w:t xml:space="preserve">, in the </w:t>
      </w:r>
      <w:r>
        <w:rPr>
          <w:i/>
        </w:rPr>
        <w:t>Create Project</w:t>
      </w:r>
      <w:r>
        <w:t xml:space="preserve"> dropdown; Knauf reserves any other intake template for the PMO core team.</w:t>
      </w:r>
    </w:p>
    <w:p w14:paraId="22DBF086" w14:textId="77777777" w:rsidR="00E71E41" w:rsidRDefault="00000000">
      <w:pPr>
        <w:pStyle w:val="berschrift2"/>
      </w:pPr>
      <w:r>
        <w:t>Launching the intake form</w:t>
      </w:r>
    </w:p>
    <w:p w14:paraId="6AA70EEE" w14:textId="77777777" w:rsidR="00E71E41" w:rsidRDefault="00000000">
      <w:r>
        <w:t xml:space="preserve">From the </w:t>
      </w:r>
      <w:r>
        <w:rPr>
          <w:b/>
        </w:rPr>
        <w:t>Project Management Grid</w:t>
      </w:r>
      <w:r>
        <w:t xml:space="preserve"> click the green </w:t>
      </w:r>
      <w:r>
        <w:rPr>
          <w:b/>
        </w:rPr>
        <w:t>Create Project</w:t>
      </w:r>
      <w:r>
        <w:t xml:space="preserve"> button in the toolbar. A short pulldown appears with the single option </w:t>
      </w:r>
      <w:r>
        <w:rPr>
          <w:b/>
        </w:rPr>
        <w:t>Regular Project</w:t>
      </w:r>
      <w:r>
        <w:t xml:space="preserve"> — pick it and the intake screen opens immediately on a blank record. The header strip looks like this:</w:t>
      </w:r>
    </w:p>
    <w:p w14:paraId="25F4C0E4" w14:textId="77777777" w:rsidR="00E71E41" w:rsidRDefault="00000000">
      <w:pPr>
        <w:jc w:val="center"/>
      </w:pPr>
      <w:r>
        <w:rPr>
          <w:noProof/>
        </w:rPr>
        <w:drawing>
          <wp:inline distT="0" distB="0" distL="0" distR="0" wp14:anchorId="6BB1F7F0" wp14:editId="2FF2C783">
            <wp:extent cx="6831623" cy="506046"/>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reate_header.png"/>
                    <pic:cNvPicPr/>
                  </pic:nvPicPr>
                  <pic:blipFill>
                    <a:blip r:embed="rId25"/>
                    <a:stretch>
                      <a:fillRect/>
                    </a:stretch>
                  </pic:blipFill>
                  <pic:spPr>
                    <a:xfrm>
                      <a:off x="0" y="0"/>
                      <a:ext cx="8262363" cy="612027"/>
                    </a:xfrm>
                    <a:prstGeom prst="rect">
                      <a:avLst/>
                    </a:prstGeom>
                  </pic:spPr>
                </pic:pic>
              </a:graphicData>
            </a:graphic>
          </wp:inline>
        </w:drawing>
      </w:r>
    </w:p>
    <w:p w14:paraId="3998AB0B" w14:textId="77777777" w:rsidR="00E71E41" w:rsidRDefault="00000000">
      <w:pPr>
        <w:jc w:val="center"/>
      </w:pPr>
      <w:r>
        <w:rPr>
          <w:i/>
          <w:sz w:val="18"/>
        </w:rPr>
        <w:t>Create Project header with project name field and Create button</w:t>
      </w:r>
    </w:p>
    <w:p w14:paraId="30E69206" w14:textId="77777777" w:rsidR="00E71E41" w:rsidRDefault="00000000">
      <w:r>
        <w:t xml:space="preserve">The two essentials are the </w:t>
      </w:r>
      <w:r>
        <w:rPr>
          <w:b/>
        </w:rPr>
        <w:t>Project name</w:t>
      </w:r>
      <w:r>
        <w:t xml:space="preserve"> field on the left (box </w:t>
      </w:r>
      <w:r>
        <w:rPr>
          <w:b/>
        </w:rPr>
        <w:t>(1)</w:t>
      </w:r>
      <w:r>
        <w:t xml:space="preserve">) and the green </w:t>
      </w:r>
      <w:r>
        <w:rPr>
          <w:b/>
        </w:rPr>
        <w:t>Create</w:t>
      </w:r>
      <w:r>
        <w:t xml:space="preserve"> button (box </w:t>
      </w:r>
      <w:r>
        <w:rPr>
          <w:b/>
        </w:rPr>
        <w:t>(2)</w:t>
      </w:r>
      <w:r>
        <w:t xml:space="preserve">). Until you type a name and click </w:t>
      </w:r>
      <w:r>
        <w:rPr>
          <w:b/>
        </w:rPr>
        <w:t>Create</w:t>
      </w:r>
      <w:r>
        <w:t xml:space="preserve">, </w:t>
      </w:r>
      <w:r>
        <w:rPr>
          <w:i/>
        </w:rPr>
        <w:t>no</w:t>
      </w:r>
      <w:r>
        <w:t xml:space="preserve"> row exists in the database, so you can safely close the page if you change your mind. The View selector in the top right corner is fixed to </w:t>
      </w:r>
      <w:r>
        <w:rPr>
          <w:b/>
        </w:rPr>
        <w:t>Attributes</w:t>
      </w:r>
      <w:r>
        <w:t xml:space="preserve"> while you are creating a record — sections like Allocations or Financials only become available </w:t>
      </w:r>
      <w:r>
        <w:rPr>
          <w:i/>
        </w:rPr>
        <w:t>after</w:t>
      </w:r>
      <w:r>
        <w:t xml:space="preserve"> the record has been saved.</w:t>
      </w:r>
    </w:p>
    <w:p w14:paraId="187CBF88" w14:textId="77777777" w:rsidR="00E71E41" w:rsidRDefault="00000000">
      <w:pPr>
        <w:pStyle w:val="berschrift2"/>
      </w:pPr>
      <w:r>
        <w:t>Filling in the Intake Form</w:t>
      </w:r>
    </w:p>
    <w:p w14:paraId="04CC8599" w14:textId="77777777" w:rsidR="00E71E41" w:rsidRDefault="00000000">
      <w:r>
        <w:t xml:space="preserve">The intake form is split into two collapsible sections. The first, </w:t>
      </w:r>
      <w:r>
        <w:rPr>
          <w:b/>
        </w:rPr>
        <w:t>Intake Form</w:t>
      </w:r>
      <w:r>
        <w:t>, gathers everything the PMO needs to slot the project into the portfolio:</w:t>
      </w:r>
    </w:p>
    <w:p w14:paraId="352DF31C" w14:textId="77777777" w:rsidR="00E71E41" w:rsidRDefault="00000000">
      <w:pPr>
        <w:jc w:val="center"/>
      </w:pPr>
      <w:r>
        <w:rPr>
          <w:noProof/>
        </w:rPr>
        <w:lastRenderedPageBreak/>
        <w:drawing>
          <wp:inline distT="0" distB="0" distL="0" distR="0" wp14:anchorId="78A31ABB" wp14:editId="24457690">
            <wp:extent cx="5911273" cy="533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reate_intake_annot.png"/>
                    <pic:cNvPicPr/>
                  </pic:nvPicPr>
                  <pic:blipFill>
                    <a:blip r:embed="rId26"/>
                    <a:stretch>
                      <a:fillRect/>
                    </a:stretch>
                  </pic:blipFill>
                  <pic:spPr>
                    <a:xfrm>
                      <a:off x="0" y="0"/>
                      <a:ext cx="5911273" cy="5334000"/>
                    </a:xfrm>
                    <a:prstGeom prst="rect">
                      <a:avLst/>
                    </a:prstGeom>
                  </pic:spPr>
                </pic:pic>
              </a:graphicData>
            </a:graphic>
          </wp:inline>
        </w:drawing>
      </w:r>
    </w:p>
    <w:p w14:paraId="3ED43950" w14:textId="77777777" w:rsidR="00E71E41" w:rsidRDefault="00000000">
      <w:pPr>
        <w:jc w:val="center"/>
      </w:pPr>
      <w:r>
        <w:rPr>
          <w:i/>
          <w:sz w:val="18"/>
        </w:rPr>
        <w:t>Intake Form section with all fields visible</w:t>
      </w:r>
    </w:p>
    <w:p w14:paraId="6EA7781E" w14:textId="77777777" w:rsidR="00E71E41" w:rsidRDefault="00000000">
      <w:r>
        <w:t xml:space="preserve">The two top fields decide what </w:t>
      </w:r>
      <w:r>
        <w:rPr>
          <w:i/>
        </w:rPr>
        <w:t>kind</w:t>
      </w:r>
      <w:r>
        <w:t xml:space="preserve"> of work you are recording: in box </w:t>
      </w:r>
      <w:r>
        <w:rPr>
          <w:b/>
        </w:rPr>
        <w:t>(3)</w:t>
      </w:r>
      <w:r>
        <w:t xml:space="preserve"> choose the </w:t>
      </w:r>
      <w:r>
        <w:rPr>
          <w:b/>
        </w:rPr>
        <w:t>Type</w:t>
      </w:r>
      <w:r>
        <w:t xml:space="preserve"> — `</w:t>
      </w:r>
      <w:r>
        <w:rPr>
          <w:rFonts w:ascii="Consolas" w:hAnsi="Consolas"/>
          <w:sz w:val="20"/>
        </w:rPr>
        <w:t>Project if this is a one-off initiative, Service if it represents recurring run effort. As soon as you pick Service</w:t>
      </w:r>
      <w:r>
        <w:t xml:space="preserve">`, the </w:t>
      </w:r>
      <w:r>
        <w:rPr>
          <w:b/>
        </w:rPr>
        <w:t>Service Name</w:t>
      </w:r>
      <w:r>
        <w:t xml:space="preserve"> dropdown in box </w:t>
      </w:r>
      <w:r>
        <w:rPr>
          <w:b/>
        </w:rPr>
        <w:t>(4)</w:t>
      </w:r>
      <w:r>
        <w:t xml:space="preserve"> becomes mandatory and must point to the corresponding service entry (typically a recurring activity such as </w:t>
      </w:r>
      <w:r>
        <w:rPr>
          <w:i/>
        </w:rPr>
        <w:t>CRM Run</w:t>
      </w:r>
      <w:r>
        <w:t xml:space="preserve"> or </w:t>
      </w:r>
      <w:r>
        <w:rPr>
          <w:i/>
        </w:rPr>
        <w:t>Procurement — PTP</w:t>
      </w:r>
      <w:r>
        <w:t xml:space="preserve">). Below that you select the </w:t>
      </w:r>
      <w:r>
        <w:rPr>
          <w:b/>
        </w:rPr>
        <w:t>Division</w:t>
      </w:r>
      <w:r>
        <w:t xml:space="preserve">, the </w:t>
      </w:r>
      <w:r>
        <w:rPr>
          <w:b/>
        </w:rPr>
        <w:t>Product / Platform Area</w:t>
      </w:r>
      <w:r>
        <w:t xml:space="preserve">, the </w:t>
      </w:r>
      <w:r>
        <w:rPr>
          <w:b/>
        </w:rPr>
        <w:t>Lead Product/Platform</w:t>
      </w:r>
      <w:r>
        <w:t xml:space="preserve"> and the </w:t>
      </w:r>
      <w:r>
        <w:rPr>
          <w:b/>
        </w:rPr>
        <w:t>Business Portfolio</w:t>
      </w:r>
      <w:r>
        <w:t>; all of these are picklists maintained by the PMO and they control where the project surfaces in the public reports.</w:t>
      </w:r>
    </w:p>
    <w:p w14:paraId="29B810BC" w14:textId="77777777" w:rsidR="00E71E41" w:rsidRDefault="00000000">
      <w:r>
        <w:t xml:space="preserve">The next block sets the timing — </w:t>
      </w:r>
      <w:r>
        <w:rPr>
          <w:b/>
        </w:rPr>
        <w:t>Planned Start date</w:t>
      </w:r>
      <w:r>
        <w:t xml:space="preserve"> and </w:t>
      </w:r>
      <w:r>
        <w:rPr>
          <w:b/>
        </w:rPr>
        <w:t>Planned End Date</w:t>
      </w:r>
      <w:r>
        <w:t xml:space="preserve"> — both pre-filled with sensible defaults that you should adjust to your actual plan. The trio </w:t>
      </w:r>
      <w:r>
        <w:rPr>
          <w:b/>
        </w:rPr>
        <w:t>Program</w:t>
      </w:r>
      <w:r>
        <w:t xml:space="preserve">, </w:t>
      </w:r>
      <w:r>
        <w:rPr>
          <w:b/>
        </w:rPr>
        <w:t>Categorization</w:t>
      </w:r>
      <w:r>
        <w:t xml:space="preserve"> and </w:t>
      </w:r>
      <w:r>
        <w:rPr>
          <w:b/>
        </w:rPr>
        <w:t>Project Category</w:t>
      </w:r>
      <w:r>
        <w:t xml:space="preserve"> lets you group the project under a program or campaign; leave them as </w:t>
      </w:r>
      <w:r>
        <w:rPr>
          <w:i/>
        </w:rPr>
        <w:t>Not Set</w:t>
      </w:r>
      <w:r>
        <w:t xml:space="preserve"> if there is no program in scope.</w:t>
      </w:r>
    </w:p>
    <w:p w14:paraId="1566BD1D" w14:textId="77777777" w:rsidR="00E71E41" w:rsidRDefault="00000000">
      <w:r>
        <w:t xml:space="preserve">The bottom half of the section concerns governance: </w:t>
      </w:r>
      <w:r>
        <w:rPr>
          <w:b/>
        </w:rPr>
        <w:t>Project Charging Type</w:t>
      </w:r>
      <w:r>
        <w:t xml:space="preserve"> decides how time and costs are charged (CAPEX, OPEX, internal, …), </w:t>
      </w:r>
      <w:r>
        <w:rPr>
          <w:b/>
        </w:rPr>
        <w:t>Legal Entity</w:t>
      </w:r>
      <w:r>
        <w:t xml:space="preserve"> ties the project to the booking unit, and </w:t>
      </w:r>
      <w:r>
        <w:rPr>
          <w:b/>
        </w:rPr>
        <w:t xml:space="preserve">Program Evolution </w:t>
      </w:r>
      <w:r>
        <w:rPr>
          <w:b/>
        </w:rPr>
        <w:lastRenderedPageBreak/>
        <w:t>Relation</w:t>
      </w:r>
      <w:r>
        <w:t xml:space="preserve"> marks whether the project is a </w:t>
      </w:r>
      <w:r>
        <w:rPr>
          <w:i/>
        </w:rPr>
        <w:t>new</w:t>
      </w:r>
      <w:r>
        <w:t xml:space="preserve"> investment or an </w:t>
      </w:r>
      <w:r>
        <w:rPr>
          <w:i/>
        </w:rPr>
        <w:t>existing</w:t>
      </w:r>
      <w:r>
        <w:t xml:space="preserve"> activity. Box </w:t>
      </w:r>
      <w:r>
        <w:rPr>
          <w:b/>
        </w:rPr>
        <w:t>(5)</w:t>
      </w:r>
      <w:r>
        <w:t xml:space="preserve"> highlights the </w:t>
      </w:r>
      <w:r>
        <w:rPr>
          <w:b/>
        </w:rPr>
        <w:t>Project Manager</w:t>
      </w:r>
      <w:r>
        <w:t xml:space="preserve"> field — this points to </w:t>
      </w:r>
      <w:r>
        <w:rPr>
          <w:i/>
        </w:rPr>
        <w:t>you</w:t>
      </w:r>
      <w:r>
        <w:t xml:space="preserve"> by default. Switch the value only if you are intaking a project on behalf of a colleague, because the Project Manager controls who can later check the project out for editing.</w:t>
      </w:r>
    </w:p>
    <w:tbl>
      <w:tblPr>
        <w:tblW w:w="0" w:type="auto"/>
        <w:tblLook w:val="04A0" w:firstRow="1" w:lastRow="0" w:firstColumn="1" w:lastColumn="0" w:noHBand="0" w:noVBand="1"/>
      </w:tblPr>
      <w:tblGrid>
        <w:gridCol w:w="9972"/>
      </w:tblGrid>
      <w:tr w:rsidR="00E71E41" w14:paraId="22E95DE0" w14:textId="77777777">
        <w:tc>
          <w:tcPr>
            <w:tcW w:w="9972" w:type="dxa"/>
            <w:shd w:val="clear" w:color="auto" w:fill="EAF1FB"/>
          </w:tcPr>
          <w:p w14:paraId="2171B995" w14:textId="77777777" w:rsidR="00E71E41" w:rsidRDefault="00000000">
            <w:r>
              <w:rPr>
                <w:b/>
                <w:color w:val="0B3D91"/>
              </w:rPr>
              <w:t xml:space="preserve">Note: </w:t>
            </w:r>
            <w:r>
              <w:rPr>
                <w:b/>
              </w:rPr>
              <w:t>Required fields</w:t>
            </w:r>
            <w:r>
              <w:t xml:space="preserve"> are marked with a small red asterisk in the UI. Tempus refuses to create the project until every red-starred field is filled — but you can always </w:t>
            </w:r>
            <w:r>
              <w:rPr>
                <w:i/>
              </w:rPr>
              <w:t>save</w:t>
            </w:r>
            <w:r>
              <w:t xml:space="preserve"> the intake with non-required fields left empty and complete them later from the Attributes view covered in chapter 4.</w:t>
            </w:r>
          </w:p>
        </w:tc>
      </w:tr>
    </w:tbl>
    <w:p w14:paraId="6DC31E8F" w14:textId="77777777" w:rsidR="00E71E41" w:rsidRDefault="00E71E41"/>
    <w:p w14:paraId="71783906" w14:textId="77777777" w:rsidR="00E71E41" w:rsidRDefault="00000000">
      <w:pPr>
        <w:pStyle w:val="berschrift2"/>
      </w:pPr>
      <w:r>
        <w:t>Filling in the PMO section</w:t>
      </w:r>
    </w:p>
    <w:p w14:paraId="2C309CBB" w14:textId="77777777" w:rsidR="00E71E41" w:rsidRDefault="00000000">
      <w:r>
        <w:t xml:space="preserve">Scrolling further down you reach the </w:t>
      </w:r>
      <w:r>
        <w:rPr>
          <w:b/>
        </w:rPr>
        <w:t>PMO</w:t>
      </w:r>
      <w:r>
        <w:t xml:space="preserve"> section. The fields here are owned by the PMO but you should still set the ones you know:</w:t>
      </w:r>
    </w:p>
    <w:p w14:paraId="5FF98E05" w14:textId="77777777" w:rsidR="00E71E41" w:rsidRDefault="00000000">
      <w:pPr>
        <w:jc w:val="center"/>
      </w:pPr>
      <w:r>
        <w:rPr>
          <w:noProof/>
        </w:rPr>
        <w:drawing>
          <wp:inline distT="0" distB="0" distL="0" distR="0" wp14:anchorId="17E24B1B" wp14:editId="5F6807A6">
            <wp:extent cx="4503827" cy="4064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reate_pmo_annot.png"/>
                    <pic:cNvPicPr/>
                  </pic:nvPicPr>
                  <pic:blipFill>
                    <a:blip r:embed="rId27"/>
                    <a:stretch>
                      <a:fillRect/>
                    </a:stretch>
                  </pic:blipFill>
                  <pic:spPr>
                    <a:xfrm>
                      <a:off x="0" y="0"/>
                      <a:ext cx="4503827" cy="4064000"/>
                    </a:xfrm>
                    <a:prstGeom prst="rect">
                      <a:avLst/>
                    </a:prstGeom>
                  </pic:spPr>
                </pic:pic>
              </a:graphicData>
            </a:graphic>
          </wp:inline>
        </w:drawing>
      </w:r>
    </w:p>
    <w:p w14:paraId="03CA38BA" w14:textId="77777777" w:rsidR="00E71E41" w:rsidRDefault="00000000">
      <w:pPr>
        <w:jc w:val="center"/>
      </w:pPr>
      <w:r>
        <w:rPr>
          <w:i/>
          <w:sz w:val="18"/>
        </w:rPr>
        <w:t>PMO section with Above Red Line, Portfolio Status, Ext. Project Number and WBS</w:t>
      </w:r>
    </w:p>
    <w:p w14:paraId="7FEEE20D" w14:textId="77777777" w:rsidR="00E71E41" w:rsidRDefault="00000000">
      <w:r>
        <w:t xml:space="preserve">Box </w:t>
      </w:r>
      <w:r>
        <w:rPr>
          <w:b/>
        </w:rPr>
        <w:t>(1)</w:t>
      </w:r>
      <w:r>
        <w:t xml:space="preserve"> is </w:t>
      </w:r>
      <w:r>
        <w:rPr>
          <w:b/>
        </w:rPr>
        <w:t>Above Red Line</w:t>
      </w:r>
      <w:r>
        <w:t xml:space="preserve"> — answer </w:t>
      </w:r>
      <w:r>
        <w:rPr>
          <w:i/>
        </w:rPr>
        <w:t>Yes</w:t>
      </w:r>
      <w:r>
        <w:t xml:space="preserve"> if the project is part of the strategic above-the-line portfolio, </w:t>
      </w:r>
      <w:r>
        <w:rPr>
          <w:i/>
        </w:rPr>
        <w:t>No</w:t>
      </w:r>
      <w:r>
        <w:t xml:space="preserve"> otherwise. Box </w:t>
      </w:r>
      <w:r>
        <w:rPr>
          <w:b/>
        </w:rPr>
        <w:t>(2)</w:t>
      </w:r>
      <w:r>
        <w:t xml:space="preserve"> is </w:t>
      </w:r>
      <w:r>
        <w:rPr>
          <w:b/>
        </w:rPr>
        <w:t>Portfolio Status</w:t>
      </w:r>
      <w:r>
        <w:t xml:space="preserve"> — leave it on `</w:t>
      </w:r>
      <w:r>
        <w:rPr>
          <w:rFonts w:ascii="Consolas" w:hAnsi="Consolas"/>
          <w:sz w:val="20"/>
        </w:rPr>
        <w:t>0 - Draft until the project has been formally approved; the PMO will move it forward through the lifecycle (1 - Pipeline, 2 - In Plan</w:t>
      </w:r>
      <w:r>
        <w:t xml:space="preserve">`, etc.). Box </w:t>
      </w:r>
      <w:r>
        <w:rPr>
          <w:b/>
        </w:rPr>
        <w:t>(3)</w:t>
      </w:r>
      <w:r>
        <w:t xml:space="preserve"> is the </w:t>
      </w:r>
      <w:r>
        <w:rPr>
          <w:b/>
        </w:rPr>
        <w:t>Ext. Project Number</w:t>
      </w:r>
      <w:r>
        <w:t xml:space="preserve"> that ties this record to your external bookkeeping. The little</w:t>
      </w:r>
    </w:p>
    <w:p w14:paraId="0A630C8E" w14:textId="77777777" w:rsidR="00E71E41" w:rsidRDefault="00000000">
      <w:pPr>
        <w:jc w:val="center"/>
      </w:pPr>
      <w:r>
        <w:rPr>
          <w:noProof/>
        </w:rPr>
        <w:drawing>
          <wp:inline distT="0" distB="0" distL="0" distR="0" wp14:anchorId="34FA5807" wp14:editId="030FCD87">
            <wp:extent cx="330200" cy="177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nique_badge.png"/>
                    <pic:cNvPicPr/>
                  </pic:nvPicPr>
                  <pic:blipFill>
                    <a:blip r:embed="rId28"/>
                    <a:stretch>
                      <a:fillRect/>
                    </a:stretch>
                  </pic:blipFill>
                  <pic:spPr>
                    <a:xfrm>
                      <a:off x="0" y="0"/>
                      <a:ext cx="330200" cy="177800"/>
                    </a:xfrm>
                    <a:prstGeom prst="rect">
                      <a:avLst/>
                    </a:prstGeom>
                  </pic:spPr>
                </pic:pic>
              </a:graphicData>
            </a:graphic>
          </wp:inline>
        </w:drawing>
      </w:r>
    </w:p>
    <w:p w14:paraId="14E5526B" w14:textId="77777777" w:rsidR="00E71E41" w:rsidRDefault="00000000">
      <w:pPr>
        <w:jc w:val="center"/>
      </w:pPr>
      <w:r>
        <w:rPr>
          <w:i/>
          <w:sz w:val="18"/>
        </w:rPr>
        <w:lastRenderedPageBreak/>
        <w:t>UNIQUE badge</w:t>
      </w:r>
    </w:p>
    <w:p w14:paraId="3C979A81" w14:textId="77777777" w:rsidR="00E71E41" w:rsidRDefault="00000000">
      <w:r>
        <w:t xml:space="preserve">badge that appears next to the field is Tempus telling you that the value has to be unique across the whole tenant — if you accidentally re-use a number, the save will be rejected. Finally, box </w:t>
      </w:r>
      <w:r>
        <w:rPr>
          <w:b/>
        </w:rPr>
        <w:t>(4)</w:t>
      </w:r>
      <w:r>
        <w:t xml:space="preserve"> is the </w:t>
      </w:r>
      <w:r>
        <w:rPr>
          <w:b/>
        </w:rPr>
        <w:t>Project Identifier Code (WBS)</w:t>
      </w:r>
      <w:r>
        <w:t xml:space="preserve"> which is the technical key under which time bookings and finance entries are reconciled.</w:t>
      </w:r>
    </w:p>
    <w:p w14:paraId="1F0F1338" w14:textId="77777777" w:rsidR="00E71E41" w:rsidRDefault="00000000">
      <w:pPr>
        <w:pStyle w:val="berschrift2"/>
      </w:pPr>
      <w:r>
        <w:t>Saving and exiting the intake</w:t>
      </w:r>
    </w:p>
    <w:p w14:paraId="20610258" w14:textId="77777777" w:rsidR="00E71E41" w:rsidRDefault="00000000">
      <w:r>
        <w:t xml:space="preserve">When all required fields are green-checked, click </w:t>
      </w:r>
      <w:r>
        <w:rPr>
          <w:b/>
        </w:rPr>
        <w:t>Create</w:t>
      </w:r>
      <w:r>
        <w:t xml:space="preserve">. Tempus takes a moment to provision the record and then jumps you straight into the </w:t>
      </w:r>
      <w:r>
        <w:rPr>
          <w:b/>
        </w:rPr>
        <w:t>Attributes</w:t>
      </w:r>
      <w:r>
        <w:t xml:space="preserve"> view of the new project — that is the same screen we look at in detail in chapter 4. From there you can switch to </w:t>
      </w:r>
      <w:r>
        <w:rPr>
          <w:b/>
        </w:rPr>
        <w:t>Allocations</w:t>
      </w:r>
      <w:r>
        <w:t xml:space="preserve"> or </w:t>
      </w:r>
      <w:r>
        <w:rPr>
          <w:b/>
        </w:rPr>
        <w:t>Financials</w:t>
      </w:r>
      <w:r>
        <w:t xml:space="preserve"> using the view selector in the top-right corner of the screen.</w:t>
      </w:r>
    </w:p>
    <w:p w14:paraId="44A3A9E2" w14:textId="77777777" w:rsidR="00E71E41" w:rsidRDefault="00000000">
      <w:r>
        <w:t>If you need to leave the intake form before creating the project, use the back-arrow (</w:t>
      </w:r>
      <w:r>
        <w:rPr>
          <w:b/>
        </w:rPr>
        <w:t>←</w:t>
      </w:r>
      <w:r>
        <w:t>) in the top-left corner. Anything you typed but did not save will be discarded. To revisit an already created project, return to the Project Management Grid and click the project name.</w:t>
      </w:r>
    </w:p>
    <w:p w14:paraId="55B91A9E" w14:textId="77777777" w:rsidR="00E71E41" w:rsidRDefault="00000000">
      <w:r>
        <w:br w:type="page"/>
      </w:r>
    </w:p>
    <w:p w14:paraId="393EFF3C" w14:textId="77777777" w:rsidR="00E71E41" w:rsidRDefault="00000000">
      <w:pPr>
        <w:pStyle w:val="berschrift1"/>
      </w:pPr>
      <w:r>
        <w:lastRenderedPageBreak/>
        <w:t>4. Project Attributes (master data)</w:t>
      </w:r>
    </w:p>
    <w:p w14:paraId="40D2607C" w14:textId="77777777" w:rsidR="00E71E41" w:rsidRDefault="00000000">
      <w:r>
        <w:t xml:space="preserve">The </w:t>
      </w:r>
      <w:r>
        <w:rPr>
          <w:b/>
        </w:rPr>
        <w:t>Attributes</w:t>
      </w:r>
      <w:r>
        <w:t xml:space="preserve"> view is the long-form record of a single project. It gathers everything the PMO needs to classify, govern and report on the project, and as a PM/SM you are the steward of the data here. The view opens automatically right after you finished the intake; you can also reach it any time by clicking a project name in the grid and choosing </w:t>
      </w:r>
      <w:r>
        <w:rPr>
          <w:b/>
        </w:rPr>
        <w:t>Attributes</w:t>
      </w:r>
      <w:r>
        <w:t xml:space="preserve"> from the view selector in the top-right corner.</w:t>
      </w:r>
    </w:p>
    <w:p w14:paraId="61CC5E05" w14:textId="77777777" w:rsidR="00E71E41" w:rsidRDefault="00000000">
      <w:pPr>
        <w:jc w:val="center"/>
      </w:pPr>
      <w:r>
        <w:rPr>
          <w:noProof/>
        </w:rPr>
        <w:drawing>
          <wp:inline distT="0" distB="0" distL="0" distR="0" wp14:anchorId="104C6460" wp14:editId="5DB3706C">
            <wp:extent cx="5452746" cy="508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ttributes_annot.png"/>
                    <pic:cNvPicPr/>
                  </pic:nvPicPr>
                  <pic:blipFill>
                    <a:blip r:embed="rId29"/>
                    <a:stretch>
                      <a:fillRect/>
                    </a:stretch>
                  </pic:blipFill>
                  <pic:spPr>
                    <a:xfrm>
                      <a:off x="0" y="0"/>
                      <a:ext cx="5452746" cy="5080000"/>
                    </a:xfrm>
                    <a:prstGeom prst="rect">
                      <a:avLst/>
                    </a:prstGeom>
                  </pic:spPr>
                </pic:pic>
              </a:graphicData>
            </a:graphic>
          </wp:inline>
        </w:drawing>
      </w:r>
    </w:p>
    <w:p w14:paraId="783FD202" w14:textId="77777777" w:rsidR="00E71E41" w:rsidRDefault="00000000">
      <w:pPr>
        <w:jc w:val="center"/>
      </w:pPr>
      <w:r>
        <w:rPr>
          <w:i/>
          <w:sz w:val="18"/>
        </w:rPr>
        <w:t>Service CRM in the Attributes view with Save button highlighted</w:t>
      </w:r>
    </w:p>
    <w:p w14:paraId="4368A205" w14:textId="77777777" w:rsidR="00E71E41" w:rsidRDefault="00000000">
      <w:r>
        <w:t xml:space="preserve">The blue stripe at the top of the page tells you who you are looking at and what state the record is in. Box </w:t>
      </w:r>
      <w:r>
        <w:rPr>
          <w:b/>
        </w:rPr>
        <w:t>(1)</w:t>
      </w:r>
      <w:r>
        <w:t xml:space="preserve"> is the editable </w:t>
      </w:r>
      <w:r>
        <w:rPr>
          <w:b/>
        </w:rPr>
        <w:t>Project name</w:t>
      </w:r>
      <w:r>
        <w:t xml:space="preserve"> — change it at any time, it is the value that appears everywhere else in the product. Box </w:t>
      </w:r>
      <w:r>
        <w:rPr>
          <w:b/>
        </w:rPr>
        <w:t>(2)</w:t>
      </w:r>
      <w:r>
        <w:t xml:space="preserve"> is the </w:t>
      </w:r>
      <w:r>
        <w:rPr>
          <w:b/>
        </w:rPr>
        <w:t>Save</w:t>
      </w:r>
      <w:r>
        <w:t xml:space="preserve"> button. Tempus keeps a local draft of your edits, but they are only persisted to the central database once you press </w:t>
      </w:r>
      <w:r>
        <w:rPr>
          <w:b/>
        </w:rPr>
        <w:t>Save</w:t>
      </w:r>
      <w:r>
        <w:t xml:space="preserve">; if you leave the page without saving, your changes are lost. Box </w:t>
      </w:r>
      <w:r>
        <w:rPr>
          <w:b/>
        </w:rPr>
        <w:t>(3)</w:t>
      </w:r>
      <w:r>
        <w:t xml:space="preserve"> is the </w:t>
      </w:r>
      <w:r>
        <w:rPr>
          <w:b/>
        </w:rPr>
        <w:t>view selector</w:t>
      </w:r>
      <w:r>
        <w:t xml:space="preserve"> — drop it open to jump between Attributes, Allocations and Financials without going back to the grid.</w:t>
      </w:r>
    </w:p>
    <w:p w14:paraId="201C6712" w14:textId="77777777" w:rsidR="00E71E41" w:rsidRDefault="00000000">
      <w:r>
        <w:lastRenderedPageBreak/>
        <w:t>To the right of those primary controls Tempus shows audit information (</w:t>
      </w:r>
      <w:r>
        <w:rPr>
          <w:i/>
        </w:rPr>
        <w:t>Created on 04.05.2026 by Magdalena Gint…</w:t>
      </w:r>
      <w:r>
        <w:t xml:space="preserve"> / </w:t>
      </w:r>
      <w:r>
        <w:rPr>
          <w:i/>
        </w:rPr>
        <w:t>Updated on 08.05.2026 by …</w:t>
      </w:r>
      <w:r>
        <w:t xml:space="preserve">) so you can always tell when the project was last touched and by whom. The little </w:t>
      </w:r>
      <w:r>
        <w:rPr>
          <w:noProof/>
        </w:rPr>
        <w:drawing>
          <wp:inline distT="0" distB="0" distL="0" distR="0" wp14:anchorId="47ECBCE5" wp14:editId="601778FA">
            <wp:extent cx="129988" cy="15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lone.png"/>
                    <pic:cNvPicPr/>
                  </pic:nvPicPr>
                  <pic:blipFill>
                    <a:blip r:embed="rId22"/>
                    <a:stretch>
                      <a:fillRect/>
                    </a:stretch>
                  </pic:blipFill>
                  <pic:spPr>
                    <a:xfrm>
                      <a:off x="0" y="0"/>
                      <a:ext cx="129988" cy="152400"/>
                    </a:xfrm>
                    <a:prstGeom prst="rect">
                      <a:avLst/>
                    </a:prstGeom>
                  </pic:spPr>
                </pic:pic>
              </a:graphicData>
            </a:graphic>
          </wp:inline>
        </w:drawing>
      </w:r>
      <w:r>
        <w:t xml:space="preserve"> icon under the project name is </w:t>
      </w:r>
      <w:r>
        <w:rPr>
          <w:b/>
        </w:rPr>
        <w:t>Clone Project</w:t>
      </w:r>
      <w:r>
        <w:t>: useful when you start a new project that has the same governance attributes as an existing one — clone, rename, adjust.</w:t>
      </w:r>
    </w:p>
    <w:p w14:paraId="7CAADB6D" w14:textId="77777777" w:rsidR="00E71E41" w:rsidRDefault="00000000">
      <w:pPr>
        <w:pStyle w:val="berschrift2"/>
      </w:pPr>
      <w:r>
        <w:t>Reading the Attributes sections</w:t>
      </w:r>
    </w:p>
    <w:p w14:paraId="41B0E626" w14:textId="77777777" w:rsidR="00E71E41" w:rsidRDefault="00000000">
      <w:r>
        <w:t xml:space="preserve">The body of the page is the same </w:t>
      </w:r>
      <w:r>
        <w:rPr>
          <w:b/>
        </w:rPr>
        <w:t>Intake Form / PMO</w:t>
      </w:r>
      <w:r>
        <w:t xml:space="preserve"> structure you already know from chapter 3, only filled with real values. Because PMs/SMs can edit every field on this page after the project has been created, treat the Attributes view as the </w:t>
      </w:r>
      <w:r>
        <w:rPr>
          <w:i/>
        </w:rPr>
        <w:t>master data sheet</w:t>
      </w:r>
      <w:r>
        <w:t xml:space="preserve"> for the project: keep </w:t>
      </w:r>
      <w:r>
        <w:rPr>
          <w:rFonts w:ascii="Consolas" w:hAnsi="Consolas"/>
          <w:sz w:val="20"/>
        </w:rPr>
        <w:t>Type</w:t>
      </w:r>
      <w:r>
        <w:t xml:space="preserve">, </w:t>
      </w:r>
      <w:r>
        <w:rPr>
          <w:rFonts w:ascii="Consolas" w:hAnsi="Consolas"/>
          <w:sz w:val="20"/>
        </w:rPr>
        <w:t>Division</w:t>
      </w:r>
      <w:r>
        <w:t xml:space="preserve">, </w:t>
      </w:r>
      <w:r>
        <w:rPr>
          <w:rFonts w:ascii="Consolas" w:hAnsi="Consolas"/>
          <w:sz w:val="20"/>
        </w:rPr>
        <w:t>Product / Platform Area</w:t>
      </w:r>
      <w:r>
        <w:t xml:space="preserve">, </w:t>
      </w:r>
      <w:r>
        <w:rPr>
          <w:rFonts w:ascii="Consolas" w:hAnsi="Consolas"/>
          <w:sz w:val="20"/>
        </w:rPr>
        <w:t>Lead Product/Platform</w:t>
      </w:r>
      <w:r>
        <w:t xml:space="preserve">, </w:t>
      </w:r>
      <w:r>
        <w:rPr>
          <w:rFonts w:ascii="Consolas" w:hAnsi="Consolas"/>
          <w:sz w:val="20"/>
        </w:rPr>
        <w:t>Business Portfolio</w:t>
      </w:r>
      <w:r>
        <w:t xml:space="preserve"> and the planning dates correct at all times — those five attributes drive every report and the Bulk Project Allocation views that the Resource Managers use to plan their teams.</w:t>
      </w:r>
    </w:p>
    <w:p w14:paraId="3A7A1BE4" w14:textId="77777777" w:rsidR="00E71E41" w:rsidRDefault="00000000">
      <w:r>
        <w:t xml:space="preserve">The </w:t>
      </w:r>
      <w:r>
        <w:rPr>
          <w:b/>
        </w:rPr>
        <w:t>Project Manager</w:t>
      </w:r>
      <w:r>
        <w:t xml:space="preserve"> field deserves a dedicated note. Re-assigning a project to a different PM/SM here is the only way that person will later be allowed to </w:t>
      </w:r>
      <w:r>
        <w:rPr>
          <w:i/>
        </w:rPr>
        <w:t>check the project out</w:t>
      </w:r>
      <w:r>
        <w:t xml:space="preserve"> for editing in Allocations or Financials — see chapter 7 for the mechanics.</w:t>
      </w:r>
    </w:p>
    <w:p w14:paraId="798CDCBB" w14:textId="77777777" w:rsidR="00E71E41" w:rsidRDefault="00000000">
      <w:pPr>
        <w:pStyle w:val="berschrift2"/>
      </w:pPr>
      <w:r>
        <w:t>A practical edit loop</w:t>
      </w:r>
    </w:p>
    <w:p w14:paraId="2BFCE925" w14:textId="77777777" w:rsidR="00E71E41" w:rsidRDefault="00000000">
      <w:r>
        <w:t>The typical edit loop on this page is short and worth memorising:</w:t>
      </w:r>
    </w:p>
    <w:p w14:paraId="208909FC" w14:textId="77777777" w:rsidR="00E71E41" w:rsidRDefault="00000000">
      <w:pPr>
        <w:ind w:left="360" w:hanging="360"/>
      </w:pPr>
      <w:r>
        <w:rPr>
          <w:b/>
        </w:rPr>
        <w:t>1.</w:t>
      </w:r>
      <w:r>
        <w:rPr>
          <w:b/>
        </w:rPr>
        <w:tab/>
      </w:r>
      <w:r>
        <w:t>Open the project from the Project Management Grid.</w:t>
      </w:r>
    </w:p>
    <w:p w14:paraId="4450BE58" w14:textId="77777777" w:rsidR="00E71E41" w:rsidRDefault="00000000">
      <w:pPr>
        <w:ind w:left="360" w:hanging="360"/>
      </w:pPr>
      <w:r>
        <w:rPr>
          <w:b/>
        </w:rPr>
        <w:t>2.</w:t>
      </w:r>
      <w:r>
        <w:rPr>
          <w:b/>
        </w:rPr>
        <w:tab/>
      </w:r>
      <w:r>
        <w:t>Make changes to the fields you need to update.</w:t>
      </w:r>
    </w:p>
    <w:p w14:paraId="68A31FD7" w14:textId="77777777" w:rsidR="00E71E41" w:rsidRDefault="00000000">
      <w:pPr>
        <w:ind w:left="360" w:hanging="360"/>
      </w:pPr>
      <w:r>
        <w:rPr>
          <w:b/>
        </w:rPr>
        <w:t>3.</w:t>
      </w:r>
      <w:r>
        <w:rPr>
          <w:b/>
        </w:rPr>
        <w:tab/>
      </w:r>
      <w:r>
        <w:t xml:space="preserve">Click </w:t>
      </w:r>
      <w:r>
        <w:rPr>
          <w:b/>
        </w:rPr>
        <w:t>Save</w:t>
      </w:r>
      <w:r>
        <w:t xml:space="preserve"> </w:t>
      </w:r>
      <w:r>
        <w:rPr>
          <w:noProof/>
        </w:rPr>
        <w:drawing>
          <wp:inline distT="0" distB="0" distL="0" distR="0" wp14:anchorId="7F88FC36" wp14:editId="4540AB50">
            <wp:extent cx="525780" cy="228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ve_button.png"/>
                    <pic:cNvPicPr/>
                  </pic:nvPicPr>
                  <pic:blipFill>
                    <a:blip r:embed="rId30"/>
                    <a:stretch>
                      <a:fillRect/>
                    </a:stretch>
                  </pic:blipFill>
                  <pic:spPr>
                    <a:xfrm>
                      <a:off x="0" y="0"/>
                      <a:ext cx="525780" cy="228600"/>
                    </a:xfrm>
                    <a:prstGeom prst="rect">
                      <a:avLst/>
                    </a:prstGeom>
                  </pic:spPr>
                </pic:pic>
              </a:graphicData>
            </a:graphic>
          </wp:inline>
        </w:drawing>
      </w:r>
      <w:r>
        <w:t>.</w:t>
      </w:r>
    </w:p>
    <w:p w14:paraId="55096E32" w14:textId="77777777" w:rsidR="00E71E41" w:rsidRDefault="00000000">
      <w:pPr>
        <w:ind w:left="360" w:hanging="360"/>
      </w:pPr>
      <w:r>
        <w:rPr>
          <w:b/>
        </w:rPr>
        <w:t>4.</w:t>
      </w:r>
      <w:r>
        <w:rPr>
          <w:b/>
        </w:rPr>
        <w:tab/>
      </w:r>
      <w:r>
        <w:t>Wait for the green confirmation toast in the lower-right corner.</w:t>
      </w:r>
    </w:p>
    <w:p w14:paraId="65D54E00" w14:textId="77777777" w:rsidR="00E71E41" w:rsidRDefault="00000000">
      <w:pPr>
        <w:ind w:left="360" w:hanging="360"/>
      </w:pPr>
      <w:r>
        <w:rPr>
          <w:b/>
        </w:rPr>
        <w:t>5.</w:t>
      </w:r>
      <w:r>
        <w:rPr>
          <w:b/>
        </w:rPr>
        <w:tab/>
      </w:r>
      <w:r>
        <w:t xml:space="preserve">Switch to the next view if needed via the view selector in box </w:t>
      </w:r>
      <w:r>
        <w:rPr>
          <w:b/>
        </w:rPr>
        <w:t>(3)</w:t>
      </w:r>
      <w:r>
        <w:t>.</w:t>
      </w:r>
    </w:p>
    <w:p w14:paraId="431E4E09" w14:textId="77777777" w:rsidR="00E71E41" w:rsidRDefault="00000000">
      <w:r>
        <w:t>If a field is greyed out, you do not have the permission to change it — most often that means the field is owned by the PMO. Reach out via the standard PMO channel; do not work around it by editing a different field.</w:t>
      </w:r>
    </w:p>
    <w:p w14:paraId="7CA488A8" w14:textId="77777777" w:rsidR="00E71E41" w:rsidRDefault="00000000">
      <w:pPr>
        <w:pStyle w:val="berschrift2"/>
      </w:pPr>
      <w:r>
        <w:t>Services vs. projects</w:t>
      </w:r>
    </w:p>
    <w:p w14:paraId="4F1B899E" w14:textId="77777777" w:rsidR="00E71E41" w:rsidRDefault="00000000">
      <w:r>
        <w:t xml:space="preserve">Services use the exact same Attributes view as projects — the only difference is the value of the </w:t>
      </w:r>
      <w:r>
        <w:rPr>
          <w:b/>
        </w:rPr>
        <w:t>Type</w:t>
      </w:r>
      <w:r>
        <w:t xml:space="preserve"> field at the very top of the Intake Form: set it to `</w:t>
      </w:r>
      <w:r>
        <w:rPr>
          <w:rFonts w:ascii="Consolas" w:hAnsi="Consolas"/>
          <w:sz w:val="20"/>
        </w:rPr>
        <w:t>Service and pick the corresponding **Service Name** from the dropdown immediately to the right. After saving, the record will appear with the standard service prefix in the grid (for example Service CRM or Service Procurement - PTP</w:t>
      </w:r>
      <w:r>
        <w:t>`) and the Resource Managers will plan recurring effort against it from the BPA Flatgrid.</w:t>
      </w:r>
    </w:p>
    <w:p w14:paraId="6E7B6483" w14:textId="77777777" w:rsidR="00E71E41" w:rsidRDefault="00000000">
      <w:r>
        <w:br w:type="page"/>
      </w:r>
    </w:p>
    <w:p w14:paraId="0ECBE7EF" w14:textId="77777777" w:rsidR="00E71E41" w:rsidRDefault="00000000">
      <w:pPr>
        <w:pStyle w:val="berschrift1"/>
      </w:pPr>
      <w:r>
        <w:lastRenderedPageBreak/>
        <w:t>5. Allocations — planning mandays</w:t>
      </w:r>
    </w:p>
    <w:p w14:paraId="3F8D7658" w14:textId="77777777" w:rsidR="00E71E41" w:rsidRDefault="00000000">
      <w:r>
        <w:t xml:space="preserve">The </w:t>
      </w:r>
      <w:r>
        <w:rPr>
          <w:b/>
        </w:rPr>
        <w:t>Allocations</w:t>
      </w:r>
      <w:r>
        <w:t xml:space="preserve"> view is the heart of project planning. Here you record how much effort each role (and, once nominated, each named person) is expected to spend on the project, per month. The total of all role rows is what eventually shows up in the Resource Manager's Bulk Project Allocation Flatgrid; the demand you create here drives their staffing decisions.</w:t>
      </w:r>
    </w:p>
    <w:p w14:paraId="3101E27D" w14:textId="77777777" w:rsidR="00E71E41" w:rsidRDefault="00000000">
      <w:r>
        <w:t xml:space="preserve">You reach the view in two clicks: open the project from the grid, then choose </w:t>
      </w:r>
      <w:r>
        <w:rPr>
          <w:b/>
        </w:rPr>
        <w:t>Allocations</w:t>
      </w:r>
      <w:r>
        <w:t xml:space="preserve"> from the view selector in the top-right corner of the project page.</w:t>
      </w:r>
    </w:p>
    <w:p w14:paraId="305AAB0E" w14:textId="77777777" w:rsidR="00E71E41" w:rsidRDefault="00000000">
      <w:pPr>
        <w:jc w:val="center"/>
      </w:pPr>
      <w:r>
        <w:rPr>
          <w:noProof/>
        </w:rPr>
        <w:drawing>
          <wp:inline distT="0" distB="0" distL="0" distR="0" wp14:anchorId="5CF8F41A" wp14:editId="55B973B1">
            <wp:extent cx="5452746" cy="50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llocations_manday_annot.png"/>
                    <pic:cNvPicPr/>
                  </pic:nvPicPr>
                  <pic:blipFill>
                    <a:blip r:embed="rId31"/>
                    <a:stretch>
                      <a:fillRect/>
                    </a:stretch>
                  </pic:blipFill>
                  <pic:spPr>
                    <a:xfrm>
                      <a:off x="0" y="0"/>
                      <a:ext cx="5452746" cy="5080000"/>
                    </a:xfrm>
                    <a:prstGeom prst="rect">
                      <a:avLst/>
                    </a:prstGeom>
                  </pic:spPr>
                </pic:pic>
              </a:graphicData>
            </a:graphic>
          </wp:inline>
        </w:drawing>
      </w:r>
    </w:p>
    <w:p w14:paraId="2161032B" w14:textId="77777777" w:rsidR="00E71E41" w:rsidRDefault="00000000">
      <w:pPr>
        <w:jc w:val="center"/>
      </w:pPr>
      <w:r>
        <w:rPr>
          <w:i/>
          <w:sz w:val="18"/>
        </w:rPr>
        <w:t>Allocations view in Mandays mode with the Checkout button highlighted</w:t>
      </w:r>
    </w:p>
    <w:p w14:paraId="21C33C40" w14:textId="77777777" w:rsidR="00E71E41" w:rsidRDefault="00000000">
      <w:r>
        <w:t xml:space="preserve">Three controls deserve attention right away. Box </w:t>
      </w:r>
      <w:r>
        <w:rPr>
          <w:b/>
        </w:rPr>
        <w:t>(1)</w:t>
      </w:r>
      <w:r>
        <w:t xml:space="preserve"> is the </w:t>
      </w:r>
      <w:r>
        <w:rPr>
          <w:b/>
        </w:rPr>
        <w:t>project name</w:t>
      </w:r>
      <w:r>
        <w:t xml:space="preserve"> strip, identical to the one on the Attributes view — you can change the name here as well, but you usually will not. Box </w:t>
      </w:r>
      <w:r>
        <w:rPr>
          <w:b/>
        </w:rPr>
        <w:t>(2)</w:t>
      </w:r>
      <w:r>
        <w:t xml:space="preserve"> is the prominent red-bordered </w:t>
      </w:r>
      <w:r>
        <w:rPr>
          <w:b/>
        </w:rPr>
        <w:t>Save</w:t>
      </w:r>
      <w:r>
        <w:t xml:space="preserve"> button. Because Allocations are a </w:t>
      </w:r>
      <w:r>
        <w:rPr>
          <w:i/>
        </w:rPr>
        <w:t>checkout-style</w:t>
      </w:r>
      <w:r>
        <w:t xml:space="preserve"> surface (see chapter 7), the button is grey and labelled </w:t>
      </w:r>
      <w:r>
        <w:rPr>
          <w:i/>
        </w:rPr>
        <w:t>Checkout</w:t>
      </w:r>
      <w:r>
        <w:t xml:space="preserve"> until you reserve the project for editing; once you do, it turns green and becomes the </w:t>
      </w:r>
      <w:r>
        <w:rPr>
          <w:i/>
        </w:rPr>
        <w:t>Save</w:t>
      </w:r>
      <w:r>
        <w:t xml:space="preserve"> </w:t>
      </w:r>
      <w:r>
        <w:lastRenderedPageBreak/>
        <w:t xml:space="preserve">action. Box </w:t>
      </w:r>
      <w:r>
        <w:rPr>
          <w:b/>
        </w:rPr>
        <w:t>(3)</w:t>
      </w:r>
      <w:r>
        <w:t xml:space="preserve"> is the view selector — your shortcut back to Attributes or forward to Financials. Box </w:t>
      </w:r>
      <w:r>
        <w:rPr>
          <w:b/>
        </w:rPr>
        <w:t>(4)</w:t>
      </w:r>
      <w:r>
        <w:t xml:space="preserve"> is the most important new control: the </w:t>
      </w:r>
      <w:r>
        <w:rPr>
          <w:b/>
        </w:rPr>
        <w:t>Mandays ↔ Cost</w:t>
      </w:r>
      <w:r>
        <w:t xml:space="preserve"> toggle that decides what unit the cells of the grid display.</w:t>
      </w:r>
    </w:p>
    <w:p w14:paraId="59EB1C7E" w14:textId="77777777" w:rsidR="00E71E41" w:rsidRDefault="00000000">
      <w:pPr>
        <w:pStyle w:val="berschrift2"/>
      </w:pPr>
      <w:r>
        <w:t>Mandays vs. Cost</w:t>
      </w:r>
    </w:p>
    <w:p w14:paraId="2BB10549" w14:textId="77777777" w:rsidR="00E71E41" w:rsidRDefault="00000000">
      <w:r>
        <w:t>Allocations can be entered in two equivalent units:</w:t>
      </w:r>
    </w:p>
    <w:p w14:paraId="4124907F" w14:textId="77777777" w:rsidR="00E71E41" w:rsidRDefault="00000000">
      <w:pPr>
        <w:jc w:val="center"/>
      </w:pPr>
      <w:r>
        <w:rPr>
          <w:noProof/>
        </w:rPr>
        <w:drawing>
          <wp:inline distT="0" distB="0" distL="0" distR="0" wp14:anchorId="46983CDE" wp14:editId="5963FC3F">
            <wp:extent cx="4978400" cy="558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iew_toggle.png"/>
                    <pic:cNvPicPr/>
                  </pic:nvPicPr>
                  <pic:blipFill>
                    <a:blip r:embed="rId32"/>
                    <a:stretch>
                      <a:fillRect/>
                    </a:stretch>
                  </pic:blipFill>
                  <pic:spPr>
                    <a:xfrm>
                      <a:off x="0" y="0"/>
                      <a:ext cx="4978400" cy="558800"/>
                    </a:xfrm>
                    <a:prstGeom prst="rect">
                      <a:avLst/>
                    </a:prstGeom>
                  </pic:spPr>
                </pic:pic>
              </a:graphicData>
            </a:graphic>
          </wp:inline>
        </w:drawing>
      </w:r>
    </w:p>
    <w:p w14:paraId="32C81CD9" w14:textId="77777777" w:rsidR="00E71E41" w:rsidRDefault="00000000">
      <w:pPr>
        <w:jc w:val="center"/>
      </w:pPr>
      <w:r>
        <w:rPr>
          <w:i/>
          <w:sz w:val="18"/>
        </w:rPr>
        <w:t>Mandays / Cost toggle detail</w:t>
      </w:r>
    </w:p>
    <w:p w14:paraId="420779F6" w14:textId="77777777" w:rsidR="00E71E41" w:rsidRDefault="00000000">
      <w:r>
        <w:t xml:space="preserve">In </w:t>
      </w:r>
      <w:r>
        <w:rPr>
          <w:b/>
        </w:rPr>
        <w:t>Mandays</w:t>
      </w:r>
      <w:r>
        <w:t xml:space="preserve"> mode (default, shown above) each cell is an integer number of </w:t>
      </w:r>
      <w:r>
        <w:rPr>
          <w:i/>
        </w:rPr>
        <w:t>resource-days</w:t>
      </w:r>
      <w:r>
        <w:t xml:space="preserve"> per role per period. In </w:t>
      </w:r>
      <w:r>
        <w:rPr>
          <w:b/>
        </w:rPr>
        <w:t>Cost</w:t>
      </w:r>
      <w:r>
        <w:t xml:space="preserve"> mode the same cell shows the corresponding euro amount, derived from the role's internal cost rate. The two units are different </w:t>
      </w:r>
      <w:r>
        <w:rPr>
          <w:i/>
        </w:rPr>
        <w:t>views</w:t>
      </w:r>
      <w:r>
        <w:t xml:space="preserve"> of the same underlying data — Tempus converts on the fly. PM/SMs typically plan in Mandays because they think about effort, then flip to Cost once or twice during the planning cycle to sanity-check the resulting budget:</w:t>
      </w:r>
    </w:p>
    <w:p w14:paraId="33DEB6FF" w14:textId="77777777" w:rsidR="00E71E41" w:rsidRDefault="00000000">
      <w:pPr>
        <w:jc w:val="center"/>
      </w:pPr>
      <w:r>
        <w:rPr>
          <w:noProof/>
        </w:rPr>
        <w:drawing>
          <wp:inline distT="0" distB="0" distL="0" distR="0" wp14:anchorId="6BD0D06E" wp14:editId="44D8FA1B">
            <wp:extent cx="5180109" cy="482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llocations_cost_annot.png"/>
                    <pic:cNvPicPr/>
                  </pic:nvPicPr>
                  <pic:blipFill>
                    <a:blip r:embed="rId33"/>
                    <a:stretch>
                      <a:fillRect/>
                    </a:stretch>
                  </pic:blipFill>
                  <pic:spPr>
                    <a:xfrm>
                      <a:off x="0" y="0"/>
                      <a:ext cx="5180109" cy="4826000"/>
                    </a:xfrm>
                    <a:prstGeom prst="rect">
                      <a:avLst/>
                    </a:prstGeom>
                  </pic:spPr>
                </pic:pic>
              </a:graphicData>
            </a:graphic>
          </wp:inline>
        </w:drawing>
      </w:r>
    </w:p>
    <w:p w14:paraId="021F2C4F" w14:textId="77777777" w:rsidR="00E71E41" w:rsidRDefault="00000000">
      <w:pPr>
        <w:jc w:val="center"/>
      </w:pPr>
      <w:r>
        <w:rPr>
          <w:i/>
          <w:sz w:val="18"/>
        </w:rPr>
        <w:lastRenderedPageBreak/>
        <w:t>Allocations view in Cost mode</w:t>
      </w:r>
    </w:p>
    <w:p w14:paraId="00F373BF" w14:textId="77777777" w:rsidR="00E71E41" w:rsidRDefault="00000000">
      <w:r>
        <w:t xml:space="preserve">Box </w:t>
      </w:r>
      <w:r>
        <w:rPr>
          <w:b/>
        </w:rPr>
        <w:t>(1)</w:t>
      </w:r>
      <w:r>
        <w:t xml:space="preserve"> is the toggle on Cost; box </w:t>
      </w:r>
      <w:r>
        <w:rPr>
          <w:b/>
        </w:rPr>
        <w:t>(2)</w:t>
      </w:r>
      <w:r>
        <w:t xml:space="preserve"> sets the </w:t>
      </w:r>
      <w:r>
        <w:rPr>
          <w:b/>
        </w:rPr>
        <w:t>time grain</w:t>
      </w:r>
      <w:r>
        <w:t xml:space="preserve"> of the columns — monthly is the standard, but you can switch to quarters or years when you want a high-level view.</w:t>
      </w:r>
    </w:p>
    <w:p w14:paraId="16AC1DD7" w14:textId="77777777" w:rsidR="00E71E41" w:rsidRDefault="00000000">
      <w:pPr>
        <w:pStyle w:val="berschrift2"/>
      </w:pPr>
      <w:r>
        <w:t>How to enter allocations</w:t>
      </w:r>
    </w:p>
    <w:p w14:paraId="64017519" w14:textId="77777777" w:rsidR="00E71E41" w:rsidRDefault="00000000">
      <w:r>
        <w:t>The recommended workflow is:</w:t>
      </w:r>
    </w:p>
    <w:p w14:paraId="26F62F69" w14:textId="77777777" w:rsidR="00E71E41" w:rsidRDefault="00000000">
      <w:pPr>
        <w:ind w:left="360" w:hanging="360"/>
      </w:pPr>
      <w:r>
        <w:rPr>
          <w:b/>
        </w:rPr>
        <w:t>1.</w:t>
      </w:r>
      <w:r>
        <w:rPr>
          <w:b/>
        </w:rPr>
        <w:tab/>
      </w:r>
      <w:r>
        <w:t xml:space="preserve">From the Attributes view of an existing project, switch to </w:t>
      </w:r>
      <w:r>
        <w:rPr>
          <w:b/>
        </w:rPr>
        <w:t>Allocations</w:t>
      </w:r>
      <w:r>
        <w:t>.</w:t>
      </w:r>
    </w:p>
    <w:p w14:paraId="4D858757" w14:textId="77777777" w:rsidR="00E71E41" w:rsidRDefault="00000000">
      <w:pPr>
        <w:ind w:left="360" w:hanging="360"/>
      </w:pPr>
      <w:r>
        <w:rPr>
          <w:b/>
        </w:rPr>
        <w:t>2.</w:t>
      </w:r>
      <w:r>
        <w:rPr>
          <w:b/>
        </w:rPr>
        <w:tab/>
      </w:r>
      <w:r>
        <w:t xml:space="preserve">Press the </w:t>
      </w:r>
      <w:r>
        <w:rPr>
          <w:b/>
        </w:rPr>
        <w:t>Checkout</w:t>
      </w:r>
      <w:r>
        <w:t xml:space="preserve"> button. It immediately turns into </w:t>
      </w:r>
      <w:r>
        <w:rPr>
          <w:b/>
        </w:rPr>
        <w:t>Save</w:t>
      </w:r>
      <w:r>
        <w:t xml:space="preserve"> and the grid becomes editable.</w:t>
      </w:r>
    </w:p>
    <w:p w14:paraId="16A5F74A" w14:textId="77777777" w:rsidR="00E71E41" w:rsidRDefault="00000000">
      <w:pPr>
        <w:ind w:left="360" w:hanging="360"/>
      </w:pPr>
      <w:r>
        <w:rPr>
          <w:b/>
        </w:rPr>
        <w:t>3.</w:t>
      </w:r>
      <w:r>
        <w:rPr>
          <w:b/>
        </w:rPr>
        <w:tab/>
      </w:r>
      <w:r>
        <w:t xml:space="preserve">Click into the leftmost column of the row of the role you want to plan (or use </w:t>
      </w:r>
      <w:r>
        <w:rPr>
          <w:b/>
        </w:rPr>
        <w:t>Add Row</w:t>
      </w:r>
      <w:r>
        <w:t xml:space="preserve"> above the grid if the role is not yet present). Pick the role from the dropdown.</w:t>
      </w:r>
    </w:p>
    <w:p w14:paraId="780C8DD3" w14:textId="77777777" w:rsidR="00E71E41" w:rsidRDefault="00000000">
      <w:pPr>
        <w:ind w:left="360" w:hanging="360"/>
      </w:pPr>
      <w:r>
        <w:rPr>
          <w:b/>
        </w:rPr>
        <w:t>4.</w:t>
      </w:r>
      <w:r>
        <w:rPr>
          <w:b/>
        </w:rPr>
        <w:tab/>
      </w:r>
      <w:r>
        <w:t>Type the desired number of mandays into each month cell. Use `</w:t>
      </w:r>
      <w:r>
        <w:rPr>
          <w:rFonts w:ascii="Consolas" w:hAnsi="Consolas"/>
          <w:sz w:val="20"/>
        </w:rPr>
        <w:t>Tab to advance to the next column or Enter</w:t>
      </w:r>
      <w:r>
        <w:t>` to drop to the next row.</w:t>
      </w:r>
    </w:p>
    <w:p w14:paraId="14A9BD7C" w14:textId="77777777" w:rsidR="00E71E41" w:rsidRDefault="00000000">
      <w:pPr>
        <w:ind w:left="360" w:hanging="360"/>
      </w:pPr>
      <w:r>
        <w:rPr>
          <w:b/>
        </w:rPr>
        <w:t>5.</w:t>
      </w:r>
      <w:r>
        <w:rPr>
          <w:b/>
        </w:rPr>
        <w:tab/>
      </w:r>
      <w:r>
        <w:t xml:space="preserve">When done, click </w:t>
      </w:r>
      <w:r>
        <w:rPr>
          <w:b/>
        </w:rPr>
        <w:t>Save</w:t>
      </w:r>
      <w:r>
        <w:t xml:space="preserve"> in the top-right corner. The toast in the lower-right corner confirms the persistence.</w:t>
      </w:r>
    </w:p>
    <w:tbl>
      <w:tblPr>
        <w:tblW w:w="0" w:type="auto"/>
        <w:tblLook w:val="04A0" w:firstRow="1" w:lastRow="0" w:firstColumn="1" w:lastColumn="0" w:noHBand="0" w:noVBand="1"/>
      </w:tblPr>
      <w:tblGrid>
        <w:gridCol w:w="9972"/>
      </w:tblGrid>
      <w:tr w:rsidR="00E71E41" w14:paraId="2621FD2F" w14:textId="77777777">
        <w:tc>
          <w:tcPr>
            <w:tcW w:w="9972" w:type="dxa"/>
            <w:shd w:val="clear" w:color="auto" w:fill="EAF7EE"/>
          </w:tcPr>
          <w:p w14:paraId="4ED6EBD4" w14:textId="77777777" w:rsidR="00E71E41" w:rsidRDefault="00000000">
            <w:r>
              <w:rPr>
                <w:b/>
                <w:color w:val="1E7A3C"/>
              </w:rPr>
              <w:t xml:space="preserve">Tip: </w:t>
            </w:r>
            <w:r>
              <w:rPr>
                <w:b/>
              </w:rPr>
              <w:t>Bulk fill.</w:t>
            </w:r>
            <w:r>
              <w:t xml:space="preserve"> Click the column header of any period and pick </w:t>
            </w:r>
            <w:r>
              <w:rPr>
                <w:i/>
              </w:rPr>
              <w:t>Fill down</w:t>
            </w:r>
            <w:r>
              <w:t xml:space="preserve"> from the small column menu to copy the value of the selected cell into the whole column. This is the fastest way to seed a flat baseline that you then refine.</w:t>
            </w:r>
          </w:p>
        </w:tc>
      </w:tr>
    </w:tbl>
    <w:p w14:paraId="00FAAD66" w14:textId="77777777" w:rsidR="00E71E41" w:rsidRDefault="00E71E41"/>
    <w:p w14:paraId="2BDAD3CF" w14:textId="77777777" w:rsidR="00E71E41" w:rsidRDefault="00000000">
      <w:pPr>
        <w:pStyle w:val="berschrift2"/>
      </w:pPr>
      <w:r>
        <w:t>Requesting named resources</w:t>
      </w:r>
    </w:p>
    <w:p w14:paraId="04FC770F" w14:textId="77777777" w:rsidR="00E71E41" w:rsidRDefault="00000000">
      <w:r>
        <w:t xml:space="preserve">Up to this point you have allocated </w:t>
      </w:r>
      <w:r>
        <w:rPr>
          <w:b/>
        </w:rPr>
        <w:t>roles</w:t>
      </w:r>
      <w:r>
        <w:t xml:space="preserve">, not people. Once your plan is stable, you can nominate concrete colleagues by opening the </w:t>
      </w:r>
      <w:r>
        <w:rPr>
          <w:i/>
        </w:rPr>
        <w:t>Resource Request</w:t>
      </w:r>
      <w:r>
        <w:t xml:space="preserve"> dialog on a role row (right-click → </w:t>
      </w:r>
      <w:r>
        <w:rPr>
          <w:i/>
        </w:rPr>
        <w:t>Request resource</w:t>
      </w:r>
      <w:r>
        <w:t xml:space="preserve">). The request lands in the inbox of the relevant Resource Manager, who decides whether to fulfil it from their team. The allocated mandays remain unchanged; only the row's </w:t>
      </w:r>
      <w:r>
        <w:rPr>
          <w:i/>
        </w:rPr>
        <w:t>Resource</w:t>
      </w:r>
      <w:r>
        <w:t xml:space="preserve"> column moves from the generic role to a named person once the request is accepted.</w:t>
      </w:r>
    </w:p>
    <w:p w14:paraId="647024AB" w14:textId="77777777" w:rsidR="00E71E41" w:rsidRDefault="00000000">
      <w:pPr>
        <w:pStyle w:val="berschrift2"/>
      </w:pPr>
      <w:r>
        <w:t>Common pitfalls</w:t>
      </w:r>
    </w:p>
    <w:p w14:paraId="3D3BAEBE" w14:textId="77777777" w:rsidR="00E71E41" w:rsidRDefault="00000000">
      <w:r>
        <w:t>A handful of issues come up repeatedly when PMs/SMs plan in Allocations:</w:t>
      </w:r>
    </w:p>
    <w:p w14:paraId="35AB7F7F" w14:textId="77777777" w:rsidR="00E71E41" w:rsidRDefault="00000000">
      <w:pPr>
        <w:pStyle w:val="Aufzhlungszeichen"/>
      </w:pPr>
      <w:r>
        <w:rPr>
          <w:b/>
        </w:rPr>
        <w:t>Editing without Checkout.</w:t>
      </w:r>
      <w:r>
        <w:t xml:space="preserve"> If the Save button is grey, you have not checked the project out. Any keystrokes are visual only and will vanish on reload.</w:t>
      </w:r>
    </w:p>
    <w:p w14:paraId="0F470820" w14:textId="77777777" w:rsidR="00E71E41" w:rsidRDefault="00000000">
      <w:pPr>
        <w:pStyle w:val="Aufzhlungszeichen"/>
      </w:pPr>
      <w:r>
        <w:rPr>
          <w:b/>
        </w:rPr>
        <w:t>Editing outside your planning horizon.</w:t>
      </w:r>
      <w:r>
        <w:t xml:space="preserve"> Tempus does not stop you from editing past months, but those values do not contribute to future capacity calculations. Use </w:t>
      </w:r>
      <w:r>
        <w:rPr>
          <w:i/>
        </w:rPr>
        <w:t>Planned Start</w:t>
      </w:r>
      <w:r>
        <w:t xml:space="preserve"> / </w:t>
      </w:r>
      <w:r>
        <w:rPr>
          <w:i/>
        </w:rPr>
        <w:t>Planned End</w:t>
      </w:r>
      <w:r>
        <w:t xml:space="preserve"> on the Attributes view to keep the horizon honest.</w:t>
      </w:r>
    </w:p>
    <w:p w14:paraId="330F7710" w14:textId="77777777" w:rsidR="00E71E41" w:rsidRDefault="00000000">
      <w:pPr>
        <w:pStyle w:val="Aufzhlungszeichen"/>
      </w:pPr>
      <w:r>
        <w:rPr>
          <w:b/>
        </w:rPr>
        <w:t>Forgetting to release.</w:t>
      </w:r>
      <w:r>
        <w:t xml:space="preserve"> Saving persists the data, but the project remains </w:t>
      </w:r>
      <w:r>
        <w:rPr>
          <w:i/>
        </w:rPr>
        <w:t>checked out</w:t>
      </w:r>
      <w:r>
        <w:t xml:space="preserve"> under your name until you press </w:t>
      </w:r>
      <w:r>
        <w:rPr>
          <w:b/>
        </w:rPr>
        <w:t>Release</w:t>
      </w:r>
      <w:r>
        <w:t xml:space="preserve"> (chapter 7). Other people on the same project cannot edit while you hold the lock.</w:t>
      </w:r>
    </w:p>
    <w:p w14:paraId="73576691" w14:textId="77777777" w:rsidR="00E71E41" w:rsidRDefault="00000000">
      <w:r>
        <w:br w:type="page"/>
      </w:r>
    </w:p>
    <w:p w14:paraId="7B06CCFF" w14:textId="77777777" w:rsidR="00E71E41" w:rsidRDefault="00000000">
      <w:pPr>
        <w:pStyle w:val="berschrift1"/>
      </w:pPr>
      <w:r>
        <w:lastRenderedPageBreak/>
        <w:t>6. Financials — non-labor costs</w:t>
      </w:r>
    </w:p>
    <w:p w14:paraId="4EF34A4C" w14:textId="77777777" w:rsidR="00E71E41" w:rsidRDefault="00000000">
      <w:r>
        <w:t xml:space="preserve">The </w:t>
      </w:r>
      <w:r>
        <w:rPr>
          <w:b/>
        </w:rPr>
        <w:t>Financials</w:t>
      </w:r>
      <w:r>
        <w:t xml:space="preserve"> view captures everything that is </w:t>
      </w:r>
      <w:r>
        <w:rPr>
          <w:i/>
        </w:rPr>
        <w:t>not</w:t>
      </w:r>
      <w:r>
        <w:t xml:space="preserve"> paid in mandays: external service fees, software licences, hardware, travel, contingency. Labor costs derived from the allocations of chapter 5 flow into the same financial picture automatically — you do </w:t>
      </w:r>
      <w:r>
        <w:rPr>
          <w:b/>
        </w:rPr>
        <w:t>not</w:t>
      </w:r>
      <w:r>
        <w:t xml:space="preserve"> re-enter them here.</w:t>
      </w:r>
    </w:p>
    <w:p w14:paraId="66762298" w14:textId="77777777" w:rsidR="00E71E41" w:rsidRDefault="00000000">
      <w:r>
        <w:t>Switch to Financials from any project page using the view selector in the top-right corner.</w:t>
      </w:r>
    </w:p>
    <w:p w14:paraId="5D1A0B04" w14:textId="77777777" w:rsidR="00E71E41" w:rsidRDefault="00000000">
      <w:pPr>
        <w:jc w:val="center"/>
      </w:pPr>
      <w:r>
        <w:rPr>
          <w:noProof/>
        </w:rPr>
        <w:drawing>
          <wp:inline distT="0" distB="0" distL="0" distR="0" wp14:anchorId="52FFB819" wp14:editId="37466C34">
            <wp:extent cx="5452746" cy="508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inancials_annot.png"/>
                    <pic:cNvPicPr/>
                  </pic:nvPicPr>
                  <pic:blipFill>
                    <a:blip r:embed="rId34"/>
                    <a:stretch>
                      <a:fillRect/>
                    </a:stretch>
                  </pic:blipFill>
                  <pic:spPr>
                    <a:xfrm>
                      <a:off x="0" y="0"/>
                      <a:ext cx="5452746" cy="5080000"/>
                    </a:xfrm>
                    <a:prstGeom prst="rect">
                      <a:avLst/>
                    </a:prstGeom>
                  </pic:spPr>
                </pic:pic>
              </a:graphicData>
            </a:graphic>
          </wp:inline>
        </w:drawing>
      </w:r>
    </w:p>
    <w:p w14:paraId="4B258493" w14:textId="77777777" w:rsidR="00E71E41" w:rsidRDefault="00000000">
      <w:pPr>
        <w:jc w:val="center"/>
      </w:pPr>
      <w:r>
        <w:rPr>
          <w:i/>
          <w:sz w:val="18"/>
        </w:rPr>
        <w:t>Financials view of a project</w:t>
      </w:r>
    </w:p>
    <w:p w14:paraId="795BD95C" w14:textId="77777777" w:rsidR="00E71E41" w:rsidRDefault="00000000">
      <w:r>
        <w:t xml:space="preserve">The structure mirrors the Allocations view. Box </w:t>
      </w:r>
      <w:r>
        <w:rPr>
          <w:b/>
        </w:rPr>
        <w:t>(1)</w:t>
      </w:r>
      <w:r>
        <w:t xml:space="preserve"> is again the Checkout / Save button — Financials use the same checkout mechanic as Allocations (chapter 7). Box </w:t>
      </w:r>
      <w:r>
        <w:rPr>
          <w:b/>
        </w:rPr>
        <w:t>(2)</w:t>
      </w:r>
      <w:r>
        <w:t xml:space="preserve"> is the </w:t>
      </w:r>
      <w:r>
        <w:rPr>
          <w:b/>
        </w:rPr>
        <w:t>toolbar</w:t>
      </w:r>
      <w:r>
        <w:t xml:space="preserve"> above the grid containing the </w:t>
      </w:r>
      <w:r>
        <w:rPr>
          <w:b/>
        </w:rPr>
        <w:t>Add Row</w:t>
      </w:r>
      <w:r>
        <w:t xml:space="preserve"> action that appends a new cost line. The grid itself shows one row per cost line, with the planning periods as columns.</w:t>
      </w:r>
    </w:p>
    <w:p w14:paraId="53AE9615" w14:textId="77777777" w:rsidR="00E71E41" w:rsidRDefault="00000000">
      <w:pPr>
        <w:pStyle w:val="berschrift2"/>
      </w:pPr>
      <w:r>
        <w:lastRenderedPageBreak/>
        <w:t>How to enter cost lines</w:t>
      </w:r>
    </w:p>
    <w:p w14:paraId="6BC0809D" w14:textId="77777777" w:rsidR="00E71E41" w:rsidRDefault="00000000">
      <w:r>
        <w:t>A cost line in Tempus is a tuple of:</w:t>
      </w:r>
    </w:p>
    <w:tbl>
      <w:tblPr>
        <w:tblW w:w="0" w:type="auto"/>
        <w:tblLook w:val="04A0" w:firstRow="1" w:lastRow="0" w:firstColumn="1" w:lastColumn="0" w:noHBand="0" w:noVBand="1"/>
      </w:tblPr>
      <w:tblGrid>
        <w:gridCol w:w="4819"/>
        <w:gridCol w:w="4819"/>
      </w:tblGrid>
      <w:tr w:rsidR="00E71E41" w14:paraId="67629775" w14:textId="77777777">
        <w:tc>
          <w:tcPr>
            <w:tcW w:w="4819" w:type="dxa"/>
            <w:shd w:val="clear" w:color="auto" w:fill="0B3D91"/>
          </w:tcPr>
          <w:p w14:paraId="5312F0D5" w14:textId="77777777" w:rsidR="00E71E41" w:rsidRDefault="00000000">
            <w:r>
              <w:rPr>
                <w:b/>
                <w:color w:val="FFFFFF"/>
                <w:sz w:val="20"/>
              </w:rPr>
              <w:t>Column</w:t>
            </w:r>
          </w:p>
        </w:tc>
        <w:tc>
          <w:tcPr>
            <w:tcW w:w="4819" w:type="dxa"/>
            <w:shd w:val="clear" w:color="auto" w:fill="0B3D91"/>
          </w:tcPr>
          <w:p w14:paraId="18AE0781" w14:textId="77777777" w:rsidR="00E71E41" w:rsidRDefault="00000000">
            <w:r>
              <w:rPr>
                <w:b/>
                <w:color w:val="FFFFFF"/>
                <w:sz w:val="20"/>
              </w:rPr>
              <w:t>Meaning</w:t>
            </w:r>
          </w:p>
        </w:tc>
      </w:tr>
      <w:tr w:rsidR="00E71E41" w14:paraId="18504F74" w14:textId="77777777">
        <w:tc>
          <w:tcPr>
            <w:tcW w:w="4819" w:type="dxa"/>
          </w:tcPr>
          <w:p w14:paraId="4C595B2A" w14:textId="77777777" w:rsidR="00E71E41" w:rsidRDefault="00000000">
            <w:r>
              <w:rPr>
                <w:sz w:val="20"/>
              </w:rPr>
              <w:t>Cost Category</w:t>
            </w:r>
          </w:p>
        </w:tc>
        <w:tc>
          <w:tcPr>
            <w:tcW w:w="4819" w:type="dxa"/>
          </w:tcPr>
          <w:p w14:paraId="1B0B372C" w14:textId="77777777" w:rsidR="00E71E41" w:rsidRDefault="00000000">
            <w:r>
              <w:rPr>
                <w:sz w:val="20"/>
              </w:rPr>
              <w:t xml:space="preserve">The bucket the cost belongs to (e.g. </w:t>
            </w:r>
            <w:r>
              <w:rPr>
                <w:i/>
                <w:sz w:val="20"/>
              </w:rPr>
              <w:t>External Services</w:t>
            </w:r>
            <w:r>
              <w:rPr>
                <w:sz w:val="20"/>
              </w:rPr>
              <w:t xml:space="preserve">, </w:t>
            </w:r>
            <w:r>
              <w:rPr>
                <w:i/>
                <w:sz w:val="20"/>
              </w:rPr>
              <w:t>Licences</w:t>
            </w:r>
            <w:r>
              <w:rPr>
                <w:sz w:val="20"/>
              </w:rPr>
              <w:t xml:space="preserve">, </w:t>
            </w:r>
            <w:r>
              <w:rPr>
                <w:i/>
                <w:sz w:val="20"/>
              </w:rPr>
              <w:t>Hardware</w:t>
            </w:r>
            <w:r>
              <w:rPr>
                <w:sz w:val="20"/>
              </w:rPr>
              <w:t xml:space="preserve">, </w:t>
            </w:r>
            <w:r>
              <w:rPr>
                <w:i/>
                <w:sz w:val="20"/>
              </w:rPr>
              <w:t>Travel</w:t>
            </w:r>
            <w:r>
              <w:rPr>
                <w:sz w:val="20"/>
              </w:rPr>
              <w:t xml:space="preserve">, </w:t>
            </w:r>
            <w:r>
              <w:rPr>
                <w:i/>
                <w:sz w:val="20"/>
              </w:rPr>
              <w:t>Other</w:t>
            </w:r>
            <w:r>
              <w:rPr>
                <w:sz w:val="20"/>
              </w:rPr>
              <w:t>). Picklist owned by Finance.</w:t>
            </w:r>
          </w:p>
        </w:tc>
      </w:tr>
      <w:tr w:rsidR="00E71E41" w14:paraId="2DD2643D" w14:textId="77777777">
        <w:tc>
          <w:tcPr>
            <w:tcW w:w="4819" w:type="dxa"/>
            <w:shd w:val="clear" w:color="auto" w:fill="F5F7FB"/>
          </w:tcPr>
          <w:p w14:paraId="5C04DF05" w14:textId="77777777" w:rsidR="00E71E41" w:rsidRDefault="00000000">
            <w:r>
              <w:rPr>
                <w:sz w:val="20"/>
              </w:rPr>
              <w:t>Cost Type</w:t>
            </w:r>
          </w:p>
        </w:tc>
        <w:tc>
          <w:tcPr>
            <w:tcW w:w="4819" w:type="dxa"/>
            <w:shd w:val="clear" w:color="auto" w:fill="F5F7FB"/>
          </w:tcPr>
          <w:p w14:paraId="41ECA067" w14:textId="77777777" w:rsidR="00E71E41" w:rsidRDefault="00000000">
            <w:r>
              <w:rPr>
                <w:sz w:val="20"/>
              </w:rPr>
              <w:t xml:space="preserve">Refinement of the category (e.g. </w:t>
            </w:r>
            <w:r>
              <w:rPr>
                <w:i/>
                <w:sz w:val="20"/>
              </w:rPr>
              <w:t>T&amp;M consulting</w:t>
            </w:r>
            <w:r>
              <w:rPr>
                <w:sz w:val="20"/>
              </w:rPr>
              <w:t xml:space="preserve"> under </w:t>
            </w:r>
            <w:r>
              <w:rPr>
                <w:i/>
                <w:sz w:val="20"/>
              </w:rPr>
              <w:t>External Services</w:t>
            </w:r>
            <w:r>
              <w:rPr>
                <w:sz w:val="20"/>
              </w:rPr>
              <w:t>). Filtered to entries that match the chosen category.</w:t>
            </w:r>
          </w:p>
        </w:tc>
      </w:tr>
      <w:tr w:rsidR="00E71E41" w14:paraId="19F1DC4E" w14:textId="77777777">
        <w:tc>
          <w:tcPr>
            <w:tcW w:w="4819" w:type="dxa"/>
          </w:tcPr>
          <w:p w14:paraId="7B5C434F" w14:textId="77777777" w:rsidR="00E71E41" w:rsidRDefault="00000000">
            <w:r>
              <w:rPr>
                <w:sz w:val="20"/>
              </w:rPr>
              <w:t>Supplier (optional)</w:t>
            </w:r>
          </w:p>
        </w:tc>
        <w:tc>
          <w:tcPr>
            <w:tcW w:w="4819" w:type="dxa"/>
          </w:tcPr>
          <w:p w14:paraId="1D8F3506" w14:textId="77777777" w:rsidR="00E71E41" w:rsidRDefault="00000000">
            <w:r>
              <w:rPr>
                <w:sz w:val="20"/>
              </w:rPr>
              <w:t>A reference for documentation; does not affect the calculation.</w:t>
            </w:r>
          </w:p>
        </w:tc>
      </w:tr>
      <w:tr w:rsidR="00E71E41" w14:paraId="2BC0A56B" w14:textId="77777777">
        <w:tc>
          <w:tcPr>
            <w:tcW w:w="4819" w:type="dxa"/>
            <w:shd w:val="clear" w:color="auto" w:fill="F5F7FB"/>
          </w:tcPr>
          <w:p w14:paraId="6E9D6DDB" w14:textId="77777777" w:rsidR="00E71E41" w:rsidRDefault="00000000">
            <w:r>
              <w:rPr>
                <w:sz w:val="20"/>
              </w:rPr>
              <w:t>Currency</w:t>
            </w:r>
          </w:p>
        </w:tc>
        <w:tc>
          <w:tcPr>
            <w:tcW w:w="4819" w:type="dxa"/>
            <w:shd w:val="clear" w:color="auto" w:fill="F5F7FB"/>
          </w:tcPr>
          <w:p w14:paraId="288C5C60" w14:textId="77777777" w:rsidR="00E71E41" w:rsidRDefault="00000000">
            <w:r>
              <w:rPr>
                <w:sz w:val="20"/>
              </w:rPr>
              <w:t>Always EUR for Knauf. Locked.</w:t>
            </w:r>
          </w:p>
        </w:tc>
      </w:tr>
      <w:tr w:rsidR="00E71E41" w14:paraId="4676B641" w14:textId="77777777">
        <w:tc>
          <w:tcPr>
            <w:tcW w:w="4819" w:type="dxa"/>
          </w:tcPr>
          <w:p w14:paraId="1896CBD8" w14:textId="77777777" w:rsidR="00E71E41" w:rsidRDefault="00000000">
            <w:r>
              <w:rPr>
                <w:sz w:val="20"/>
              </w:rPr>
              <w:t>Amount per period</w:t>
            </w:r>
          </w:p>
        </w:tc>
        <w:tc>
          <w:tcPr>
            <w:tcW w:w="4819" w:type="dxa"/>
          </w:tcPr>
          <w:p w14:paraId="6C16EC5E" w14:textId="77777777" w:rsidR="00E71E41" w:rsidRDefault="00000000">
            <w:r>
              <w:rPr>
                <w:sz w:val="20"/>
              </w:rPr>
              <w:t>The euro amount you expect to spend in that month/quarter/year.</w:t>
            </w:r>
          </w:p>
        </w:tc>
      </w:tr>
    </w:tbl>
    <w:p w14:paraId="533AA8DD" w14:textId="77777777" w:rsidR="00E71E41" w:rsidRDefault="00E71E41"/>
    <w:p w14:paraId="0C6D0A8B" w14:textId="77777777" w:rsidR="00E71E41" w:rsidRDefault="00000000">
      <w:r>
        <w:t>To add a new cost line:</w:t>
      </w:r>
    </w:p>
    <w:p w14:paraId="4E3A2B52" w14:textId="77777777" w:rsidR="00E71E41" w:rsidRDefault="00000000">
      <w:pPr>
        <w:ind w:left="360" w:hanging="360"/>
      </w:pPr>
      <w:r>
        <w:rPr>
          <w:b/>
        </w:rPr>
        <w:t>1.</w:t>
      </w:r>
      <w:r>
        <w:rPr>
          <w:b/>
        </w:rPr>
        <w:tab/>
      </w:r>
      <w:r>
        <w:t xml:space="preserve">Press </w:t>
      </w:r>
      <w:r>
        <w:rPr>
          <w:b/>
        </w:rPr>
        <w:t>Checkout</w:t>
      </w:r>
      <w:r>
        <w:t xml:space="preserve"> in the top-right corner (the button turns green and becomes </w:t>
      </w:r>
      <w:r>
        <w:rPr>
          <w:b/>
        </w:rPr>
        <w:t>Save</w:t>
      </w:r>
      <w:r>
        <w:t>).</w:t>
      </w:r>
    </w:p>
    <w:p w14:paraId="289CC4CE" w14:textId="77777777" w:rsidR="00E71E41" w:rsidRDefault="00000000">
      <w:pPr>
        <w:ind w:left="360" w:hanging="360"/>
      </w:pPr>
      <w:r>
        <w:rPr>
          <w:b/>
        </w:rPr>
        <w:t>2.</w:t>
      </w:r>
      <w:r>
        <w:rPr>
          <w:b/>
        </w:rPr>
        <w:tab/>
      </w:r>
      <w:r>
        <w:t xml:space="preserve">Click </w:t>
      </w:r>
      <w:r>
        <w:rPr>
          <w:b/>
        </w:rPr>
        <w:t>Add Row</w:t>
      </w:r>
      <w:r>
        <w:t xml:space="preserve"> in the toolbar of box </w:t>
      </w:r>
      <w:r>
        <w:rPr>
          <w:b/>
        </w:rPr>
        <w:t>(2)</w:t>
      </w:r>
      <w:r>
        <w:t>. A blank row is appended at the bottom of the grid.</w:t>
      </w:r>
    </w:p>
    <w:p w14:paraId="2136C869" w14:textId="77777777" w:rsidR="00E71E41" w:rsidRDefault="00000000">
      <w:pPr>
        <w:ind w:left="360" w:hanging="360"/>
      </w:pPr>
      <w:r>
        <w:rPr>
          <w:b/>
        </w:rPr>
        <w:t>3.</w:t>
      </w:r>
      <w:r>
        <w:rPr>
          <w:b/>
        </w:rPr>
        <w:tab/>
      </w:r>
      <w:r>
        <w:t xml:space="preserve">Pick the </w:t>
      </w:r>
      <w:r>
        <w:rPr>
          <w:b/>
        </w:rPr>
        <w:t>Cost Category</w:t>
      </w:r>
      <w:r>
        <w:t xml:space="preserve"> and </w:t>
      </w:r>
      <w:r>
        <w:rPr>
          <w:b/>
        </w:rPr>
        <w:t>Cost Type</w:t>
      </w:r>
      <w:r>
        <w:t xml:space="preserve"> in the first two columns of the new row.</w:t>
      </w:r>
    </w:p>
    <w:p w14:paraId="4DB3391D" w14:textId="77777777" w:rsidR="00E71E41" w:rsidRDefault="00000000">
      <w:pPr>
        <w:ind w:left="360" w:hanging="360"/>
      </w:pPr>
      <w:r>
        <w:rPr>
          <w:b/>
        </w:rPr>
        <w:t>4.</w:t>
      </w:r>
      <w:r>
        <w:rPr>
          <w:b/>
        </w:rPr>
        <w:tab/>
      </w:r>
      <w:r>
        <w:t>Type the euro amount into each period column. Decimals are accepted, the locale is German (`</w:t>
      </w:r>
      <w:r>
        <w:rPr>
          <w:rFonts w:ascii="Consolas" w:hAnsi="Consolas"/>
          <w:sz w:val="20"/>
        </w:rPr>
        <w:t>1.234,56</w:t>
      </w:r>
      <w:r>
        <w:t>`).</w:t>
      </w:r>
    </w:p>
    <w:p w14:paraId="6FA2E69F" w14:textId="77777777" w:rsidR="00E71E41" w:rsidRDefault="00000000">
      <w:pPr>
        <w:ind w:left="360" w:hanging="360"/>
      </w:pPr>
      <w:r>
        <w:rPr>
          <w:b/>
        </w:rPr>
        <w:t>5.</w:t>
      </w:r>
      <w:r>
        <w:rPr>
          <w:b/>
        </w:rPr>
        <w:tab/>
      </w:r>
      <w:r>
        <w:t xml:space="preserve">Press </w:t>
      </w:r>
      <w:r>
        <w:rPr>
          <w:b/>
        </w:rPr>
        <w:t>Save</w:t>
      </w:r>
      <w:r>
        <w:t xml:space="preserve"> when done. The Finance reports will pick up the value at the next scheduled refresh.</w:t>
      </w:r>
    </w:p>
    <w:tbl>
      <w:tblPr>
        <w:tblW w:w="0" w:type="auto"/>
        <w:tblLook w:val="04A0" w:firstRow="1" w:lastRow="0" w:firstColumn="1" w:lastColumn="0" w:noHBand="0" w:noVBand="1"/>
      </w:tblPr>
      <w:tblGrid>
        <w:gridCol w:w="9972"/>
      </w:tblGrid>
      <w:tr w:rsidR="00E71E41" w14:paraId="736DF457" w14:textId="77777777">
        <w:tc>
          <w:tcPr>
            <w:tcW w:w="9972" w:type="dxa"/>
            <w:shd w:val="clear" w:color="auto" w:fill="EAF1FB"/>
          </w:tcPr>
          <w:p w14:paraId="577660D7" w14:textId="77777777" w:rsidR="00E71E41" w:rsidRDefault="00000000">
            <w:r>
              <w:rPr>
                <w:b/>
                <w:color w:val="0B3D91"/>
              </w:rPr>
              <w:t xml:space="preserve">Note: </w:t>
            </w:r>
            <w:r>
              <w:rPr>
                <w:b/>
              </w:rPr>
              <w:t>Capex vs. Opex.</w:t>
            </w:r>
            <w:r>
              <w:t xml:space="preserve"> Both flow through the same view; the capitalisation rule is derived from the </w:t>
            </w:r>
            <w:r>
              <w:rPr>
                <w:i/>
              </w:rPr>
              <w:t>Project Charging Type</w:t>
            </w:r>
            <w:r>
              <w:t xml:space="preserve"> on the Attributes page. If a cost line is showing up under the wrong bucket in the finance report, fix the Charging Type first, then save — Tempus re-classifies the cost lines automatically.</w:t>
            </w:r>
          </w:p>
        </w:tc>
      </w:tr>
    </w:tbl>
    <w:p w14:paraId="5C439E72" w14:textId="77777777" w:rsidR="00E71E41" w:rsidRDefault="00E71E41"/>
    <w:p w14:paraId="29226A62" w14:textId="77777777" w:rsidR="00E71E41" w:rsidRDefault="00000000">
      <w:pPr>
        <w:pStyle w:val="berschrift2"/>
      </w:pPr>
      <w:r>
        <w:t>Validating the budget</w:t>
      </w:r>
    </w:p>
    <w:p w14:paraId="28580BD1" w14:textId="77777777" w:rsidR="00E71E41" w:rsidRDefault="00000000">
      <w:r>
        <w:t xml:space="preserve">Once you have entered allocations </w:t>
      </w:r>
      <w:r>
        <w:rPr>
          <w:i/>
        </w:rPr>
        <w:t>and</w:t>
      </w:r>
      <w:r>
        <w:t xml:space="preserve"> cost lines, switch the Allocations view to </w:t>
      </w:r>
      <w:r>
        <w:rPr>
          <w:b/>
        </w:rPr>
        <w:t>Cost</w:t>
      </w:r>
      <w:r>
        <w:t xml:space="preserve"> mode (see chapter 5) and compare the labor totals to the non-labor totals in Financials. Together they give you the total committed project budget. The same number appears in the </w:t>
      </w:r>
      <w:r>
        <w:rPr>
          <w:i/>
        </w:rPr>
        <w:t>Total Cost</w:t>
      </w:r>
      <w:r>
        <w:t xml:space="preserve"> column of the Project Management Grid — make sure it matches your business case before you ask the PMO to advance the project's </w:t>
      </w:r>
      <w:r>
        <w:rPr>
          <w:i/>
        </w:rPr>
        <w:t>Portfolio Status</w:t>
      </w:r>
      <w:r>
        <w:t>.</w:t>
      </w:r>
    </w:p>
    <w:p w14:paraId="54CA1F13" w14:textId="77777777" w:rsidR="00E71E41" w:rsidRDefault="00000000">
      <w:pPr>
        <w:pStyle w:val="berschrift2"/>
      </w:pPr>
      <w:r>
        <w:lastRenderedPageBreak/>
        <w:t>When the grid is empty</w:t>
      </w:r>
    </w:p>
    <w:p w14:paraId="6917070C" w14:textId="77777777" w:rsidR="00E71E41" w:rsidRDefault="00000000">
      <w:r>
        <w:t xml:space="preserve">A project with </w:t>
      </w:r>
      <w:r>
        <w:rPr>
          <w:b/>
        </w:rPr>
        <w:t>no</w:t>
      </w:r>
      <w:r>
        <w:t xml:space="preserve"> cost rows in Financials means </w:t>
      </w:r>
      <w:r>
        <w:rPr>
          <w:i/>
        </w:rPr>
        <w:t>the PM/SM did not plan any non-labor cost yet</w:t>
      </w:r>
      <w:r>
        <w:t xml:space="preserve">. That is a valid state for early- stage projects but should not last past the </w:t>
      </w:r>
      <w:r>
        <w:rPr>
          <w:i/>
        </w:rPr>
        <w:t>Pipeline</w:t>
      </w:r>
      <w:r>
        <w:t xml:space="preserve"> phase: empty financials cause Knauf's portfolio dashboards to under-report the real investment. The PMO will follow up if a project sits in </w:t>
      </w:r>
      <w:r>
        <w:rPr>
          <w:i/>
        </w:rPr>
        <w:t>In Plan</w:t>
      </w:r>
      <w:r>
        <w:t xml:space="preserve"> with empty financials for more than two weeks.</w:t>
      </w:r>
    </w:p>
    <w:p w14:paraId="33764DD2" w14:textId="77777777" w:rsidR="00E71E41" w:rsidRDefault="00000000">
      <w:r>
        <w:br w:type="page"/>
      </w:r>
    </w:p>
    <w:p w14:paraId="5C9451CC" w14:textId="77777777" w:rsidR="00E71E41" w:rsidRDefault="00000000">
      <w:pPr>
        <w:pStyle w:val="berschrift1"/>
      </w:pPr>
      <w:r>
        <w:lastRenderedPageBreak/>
        <w:t>7. Save, Checkout &amp; Release</w:t>
      </w:r>
    </w:p>
    <w:p w14:paraId="4112D726" w14:textId="77777777" w:rsidR="00E71E41" w:rsidRDefault="00000000">
      <w:r>
        <w:t xml:space="preserve">Tempus uses two complementary mechanics to commit your work: </w:t>
      </w:r>
      <w:r>
        <w:rPr>
          <w:b/>
        </w:rPr>
        <w:t>Save</w:t>
      </w:r>
      <w:r>
        <w:t xml:space="preserve"> for the surfaces that simply persist what you typed, and </w:t>
      </w:r>
      <w:r>
        <w:rPr>
          <w:b/>
        </w:rPr>
        <w:t>Checkout / Release</w:t>
      </w:r>
      <w:r>
        <w:t xml:space="preserve"> for the surfaces where multiple users could collide. Knowing which surface uses which mechanic prevents the most common source of frustration — lost edits.</w:t>
      </w:r>
    </w:p>
    <w:p w14:paraId="0AD4B70E" w14:textId="77777777" w:rsidR="00E71E41" w:rsidRDefault="00000000">
      <w:pPr>
        <w:pStyle w:val="berschrift2"/>
      </w:pPr>
      <w:r>
        <w:t>Save-only surfaces</w:t>
      </w:r>
    </w:p>
    <w:p w14:paraId="1D7F5D4B" w14:textId="77777777" w:rsidR="00E71E41" w:rsidRDefault="00000000">
      <w:r>
        <w:t xml:space="preserve">The </w:t>
      </w:r>
      <w:r>
        <w:rPr>
          <w:b/>
        </w:rPr>
        <w:t>Attributes</w:t>
      </w:r>
      <w:r>
        <w:t xml:space="preserve"> view (chapter 4) is a save-only surface. Multiple PMs/SMs almost never edit the same project's master data at the same moment, so Tempus does not enforce exclusivity. Edits stay in your browser as a </w:t>
      </w:r>
      <w:r>
        <w:rPr>
          <w:i/>
        </w:rPr>
        <w:t>draft</w:t>
      </w:r>
      <w:r>
        <w:t xml:space="preserve">; pressing </w:t>
      </w:r>
      <w:r>
        <w:rPr>
          <w:b/>
        </w:rPr>
        <w:t>Save</w:t>
      </w:r>
      <w:r>
        <w:t xml:space="preserve"> in the top-right corner persists them and refreshes the audit information ("Updated on … by …"). If a colleague saves something between your open and your save, Tempus will warn you and let you reload before overwriting.</w:t>
      </w:r>
    </w:p>
    <w:p w14:paraId="3A2ACB7B" w14:textId="77777777" w:rsidR="00E71E41" w:rsidRDefault="00000000">
      <w:pPr>
        <w:pStyle w:val="berschrift2"/>
      </w:pPr>
      <w:r>
        <w:t>Checkout-style surfaces</w:t>
      </w:r>
    </w:p>
    <w:p w14:paraId="16CD013B" w14:textId="77777777" w:rsidR="00E71E41" w:rsidRDefault="00000000">
      <w:r>
        <w:t xml:space="preserve">The </w:t>
      </w:r>
      <w:r>
        <w:rPr>
          <w:b/>
        </w:rPr>
        <w:t>Allocations</w:t>
      </w:r>
      <w:r>
        <w:t xml:space="preserve"> (chapter 5) and </w:t>
      </w:r>
      <w:r>
        <w:rPr>
          <w:b/>
        </w:rPr>
        <w:t>Financials</w:t>
      </w:r>
      <w:r>
        <w:t xml:space="preserve"> (chapter 6) views </w:t>
      </w:r>
      <w:r>
        <w:rPr>
          <w:i/>
        </w:rPr>
        <w:t>do</w:t>
      </w:r>
      <w:r>
        <w:t xml:space="preserve"> enforce exclusivity, because numbers in those views feed downstream calculations and conflicting edits would silently corrupt the plan. The cycle is:</w:t>
      </w:r>
    </w:p>
    <w:tbl>
      <w:tblPr>
        <w:tblW w:w="0" w:type="auto"/>
        <w:tblLook w:val="04A0" w:firstRow="1" w:lastRow="0" w:firstColumn="1" w:lastColumn="0" w:noHBand="0" w:noVBand="1"/>
      </w:tblPr>
      <w:tblGrid>
        <w:gridCol w:w="3213"/>
        <w:gridCol w:w="3213"/>
        <w:gridCol w:w="3213"/>
      </w:tblGrid>
      <w:tr w:rsidR="00E71E41" w14:paraId="52B7B21A" w14:textId="77777777">
        <w:tc>
          <w:tcPr>
            <w:tcW w:w="3213" w:type="dxa"/>
            <w:shd w:val="clear" w:color="auto" w:fill="0B3D91"/>
          </w:tcPr>
          <w:p w14:paraId="51B4FC37" w14:textId="77777777" w:rsidR="00E71E41" w:rsidRDefault="00000000">
            <w:r>
              <w:rPr>
                <w:b/>
                <w:color w:val="FFFFFF"/>
                <w:sz w:val="20"/>
              </w:rPr>
              <w:t>Step</w:t>
            </w:r>
          </w:p>
        </w:tc>
        <w:tc>
          <w:tcPr>
            <w:tcW w:w="3213" w:type="dxa"/>
            <w:shd w:val="clear" w:color="auto" w:fill="0B3D91"/>
          </w:tcPr>
          <w:p w14:paraId="273CA445" w14:textId="77777777" w:rsidR="00E71E41" w:rsidRDefault="00000000">
            <w:r>
              <w:rPr>
                <w:b/>
                <w:color w:val="FFFFFF"/>
                <w:sz w:val="20"/>
              </w:rPr>
              <w:t>What you click</w:t>
            </w:r>
          </w:p>
        </w:tc>
        <w:tc>
          <w:tcPr>
            <w:tcW w:w="3213" w:type="dxa"/>
            <w:shd w:val="clear" w:color="auto" w:fill="0B3D91"/>
          </w:tcPr>
          <w:p w14:paraId="5C76C02F" w14:textId="77777777" w:rsidR="00E71E41" w:rsidRDefault="00000000">
            <w:r>
              <w:rPr>
                <w:b/>
                <w:color w:val="FFFFFF"/>
                <w:sz w:val="20"/>
              </w:rPr>
              <w:t>What happens</w:t>
            </w:r>
          </w:p>
        </w:tc>
      </w:tr>
      <w:tr w:rsidR="00E71E41" w14:paraId="1C73088E" w14:textId="77777777">
        <w:tc>
          <w:tcPr>
            <w:tcW w:w="3213" w:type="dxa"/>
          </w:tcPr>
          <w:p w14:paraId="6C385FEA" w14:textId="77777777" w:rsidR="00E71E41" w:rsidRDefault="00000000">
            <w:r>
              <w:rPr>
                <w:sz w:val="20"/>
              </w:rPr>
              <w:t>1</w:t>
            </w:r>
          </w:p>
        </w:tc>
        <w:tc>
          <w:tcPr>
            <w:tcW w:w="3213" w:type="dxa"/>
          </w:tcPr>
          <w:p w14:paraId="49C4975B" w14:textId="77777777" w:rsidR="00E71E41" w:rsidRDefault="00000000">
            <w:r>
              <w:rPr>
                <w:b/>
                <w:sz w:val="20"/>
              </w:rPr>
              <w:t>Checkout</w:t>
            </w:r>
          </w:p>
        </w:tc>
        <w:tc>
          <w:tcPr>
            <w:tcW w:w="3213" w:type="dxa"/>
          </w:tcPr>
          <w:p w14:paraId="15EF67EF" w14:textId="77777777" w:rsidR="00E71E41" w:rsidRDefault="00000000">
            <w:r>
              <w:rPr>
                <w:sz w:val="20"/>
              </w:rPr>
              <w:t xml:space="preserve">The grid becomes editable. A lock </w:t>
            </w:r>
            <w:r>
              <w:rPr>
                <w:noProof/>
                <w:sz w:val="20"/>
              </w:rPr>
              <w:drawing>
                <wp:inline distT="0" distB="0" distL="0" distR="0" wp14:anchorId="23B1C78E" wp14:editId="7641630E">
                  <wp:extent cx="152400" cy="15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lock.png"/>
                          <pic:cNvPicPr/>
                        </pic:nvPicPr>
                        <pic:blipFill>
                          <a:blip r:embed="rId18"/>
                          <a:stretch>
                            <a:fillRect/>
                          </a:stretch>
                        </pic:blipFill>
                        <pic:spPr>
                          <a:xfrm>
                            <a:off x="0" y="0"/>
                            <a:ext cx="152400" cy="152400"/>
                          </a:xfrm>
                          <a:prstGeom prst="rect">
                            <a:avLst/>
                          </a:prstGeom>
                        </pic:spPr>
                      </pic:pic>
                    </a:graphicData>
                  </a:graphic>
                </wp:inline>
              </w:drawing>
            </w:r>
            <w:r>
              <w:rPr>
                <w:sz w:val="20"/>
              </w:rPr>
              <w:t xml:space="preserve"> is placed on the project under your name. No-one else can edit Allocations or Financials of this project until you release.</w:t>
            </w:r>
          </w:p>
        </w:tc>
      </w:tr>
      <w:tr w:rsidR="00E71E41" w14:paraId="1A4D2AEA" w14:textId="77777777">
        <w:tc>
          <w:tcPr>
            <w:tcW w:w="3213" w:type="dxa"/>
            <w:shd w:val="clear" w:color="auto" w:fill="F5F7FB"/>
          </w:tcPr>
          <w:p w14:paraId="041BE311" w14:textId="77777777" w:rsidR="00E71E41" w:rsidRDefault="00000000">
            <w:r>
              <w:rPr>
                <w:sz w:val="20"/>
              </w:rPr>
              <w:t>2</w:t>
            </w:r>
          </w:p>
        </w:tc>
        <w:tc>
          <w:tcPr>
            <w:tcW w:w="3213" w:type="dxa"/>
            <w:shd w:val="clear" w:color="auto" w:fill="F5F7FB"/>
          </w:tcPr>
          <w:p w14:paraId="3CE2AE7C" w14:textId="77777777" w:rsidR="00E71E41" w:rsidRDefault="00000000">
            <w:r>
              <w:rPr>
                <w:i/>
                <w:sz w:val="20"/>
              </w:rPr>
              <w:t>(edit)</w:t>
            </w:r>
          </w:p>
        </w:tc>
        <w:tc>
          <w:tcPr>
            <w:tcW w:w="3213" w:type="dxa"/>
            <w:shd w:val="clear" w:color="auto" w:fill="F5F7FB"/>
          </w:tcPr>
          <w:p w14:paraId="5F4CA46F" w14:textId="77777777" w:rsidR="00E71E41" w:rsidRDefault="00000000">
            <w:r>
              <w:rPr>
                <w:sz w:val="20"/>
              </w:rPr>
              <w:t>Your changes are persisted to your private draft on every cell change.</w:t>
            </w:r>
          </w:p>
        </w:tc>
      </w:tr>
      <w:tr w:rsidR="00E71E41" w14:paraId="634BBDB7" w14:textId="77777777">
        <w:tc>
          <w:tcPr>
            <w:tcW w:w="3213" w:type="dxa"/>
          </w:tcPr>
          <w:p w14:paraId="1D741EC3" w14:textId="77777777" w:rsidR="00E71E41" w:rsidRDefault="00000000">
            <w:r>
              <w:rPr>
                <w:sz w:val="20"/>
              </w:rPr>
              <w:t>3</w:t>
            </w:r>
          </w:p>
        </w:tc>
        <w:tc>
          <w:tcPr>
            <w:tcW w:w="3213" w:type="dxa"/>
          </w:tcPr>
          <w:p w14:paraId="0ACCEAD2" w14:textId="77777777" w:rsidR="00E71E41" w:rsidRDefault="00000000">
            <w:r>
              <w:rPr>
                <w:b/>
                <w:sz w:val="20"/>
              </w:rPr>
              <w:t>Save</w:t>
            </w:r>
          </w:p>
        </w:tc>
        <w:tc>
          <w:tcPr>
            <w:tcW w:w="3213" w:type="dxa"/>
          </w:tcPr>
          <w:p w14:paraId="725934CE" w14:textId="77777777" w:rsidR="00E71E41" w:rsidRDefault="00000000">
            <w:r>
              <w:rPr>
                <w:sz w:val="20"/>
              </w:rPr>
              <w:t>Your draft becomes the new central version. The lock stays with you.</w:t>
            </w:r>
          </w:p>
        </w:tc>
      </w:tr>
      <w:tr w:rsidR="00E71E41" w14:paraId="2C4BD4AA" w14:textId="77777777">
        <w:tc>
          <w:tcPr>
            <w:tcW w:w="3213" w:type="dxa"/>
            <w:shd w:val="clear" w:color="auto" w:fill="F5F7FB"/>
          </w:tcPr>
          <w:p w14:paraId="6BBA117C" w14:textId="77777777" w:rsidR="00E71E41" w:rsidRDefault="00000000">
            <w:r>
              <w:rPr>
                <w:sz w:val="20"/>
              </w:rPr>
              <w:t>4</w:t>
            </w:r>
          </w:p>
        </w:tc>
        <w:tc>
          <w:tcPr>
            <w:tcW w:w="3213" w:type="dxa"/>
            <w:shd w:val="clear" w:color="auto" w:fill="F5F7FB"/>
          </w:tcPr>
          <w:p w14:paraId="5C3DB37D" w14:textId="77777777" w:rsidR="00E71E41" w:rsidRDefault="00000000">
            <w:r>
              <w:rPr>
                <w:b/>
                <w:sz w:val="20"/>
              </w:rPr>
              <w:t>Release</w:t>
            </w:r>
          </w:p>
        </w:tc>
        <w:tc>
          <w:tcPr>
            <w:tcW w:w="3213" w:type="dxa"/>
            <w:shd w:val="clear" w:color="auto" w:fill="F5F7FB"/>
          </w:tcPr>
          <w:p w14:paraId="461B9C66" w14:textId="77777777" w:rsidR="00E71E41" w:rsidRDefault="00000000">
            <w:r>
              <w:rPr>
                <w:sz w:val="20"/>
              </w:rPr>
              <w:t>The lock is removed and the project is editable by other authorised users again.</w:t>
            </w:r>
          </w:p>
        </w:tc>
      </w:tr>
    </w:tbl>
    <w:p w14:paraId="742A4EE7" w14:textId="77777777" w:rsidR="00E71E41" w:rsidRDefault="00E71E41"/>
    <w:p w14:paraId="1621E942" w14:textId="77777777" w:rsidR="00E71E41" w:rsidRDefault="00000000">
      <w:r>
        <w:t xml:space="preserve">The </w:t>
      </w:r>
      <w:r>
        <w:rPr>
          <w:b/>
        </w:rPr>
        <w:t>Save</w:t>
      </w:r>
      <w:r>
        <w:t xml:space="preserve"> and </w:t>
      </w:r>
      <w:r>
        <w:rPr>
          <w:b/>
        </w:rPr>
        <w:t>Release</w:t>
      </w:r>
      <w:r>
        <w:t xml:space="preserve"> actions live in the same top-right strip of the project page. </w:t>
      </w:r>
      <w:r>
        <w:rPr>
          <w:i/>
        </w:rPr>
        <w:t>Always</w:t>
      </w:r>
      <w:r>
        <w:t xml:space="preserve"> press </w:t>
      </w:r>
      <w:r>
        <w:rPr>
          <w:b/>
        </w:rPr>
        <w:t>Release</w:t>
      </w:r>
      <w:r>
        <w:t xml:space="preserve"> before leaving the project — otherwise your colleagues will see a friendly </w:t>
      </w:r>
      <w:r>
        <w:rPr>
          <w:i/>
        </w:rPr>
        <w:t>"Locked by PM/SM (Dummy)"</w:t>
      </w:r>
      <w:r>
        <w:t xml:space="preserve"> message and will be blocked. The PMO has an admin override but using it should remain the exception.</w:t>
      </w:r>
    </w:p>
    <w:tbl>
      <w:tblPr>
        <w:tblW w:w="0" w:type="auto"/>
        <w:tblLook w:val="04A0" w:firstRow="1" w:lastRow="0" w:firstColumn="1" w:lastColumn="0" w:noHBand="0" w:noVBand="1"/>
      </w:tblPr>
      <w:tblGrid>
        <w:gridCol w:w="9972"/>
      </w:tblGrid>
      <w:tr w:rsidR="00E71E41" w14:paraId="0FF72212" w14:textId="77777777">
        <w:tc>
          <w:tcPr>
            <w:tcW w:w="9972" w:type="dxa"/>
            <w:shd w:val="clear" w:color="auto" w:fill="EAF7EE"/>
          </w:tcPr>
          <w:p w14:paraId="2DFE4DB0" w14:textId="77777777" w:rsidR="00E71E41" w:rsidRDefault="00000000">
            <w:r>
              <w:rPr>
                <w:b/>
                <w:color w:val="1E7A3C"/>
              </w:rPr>
              <w:t xml:space="preserve">Tip: </w:t>
            </w:r>
            <w:r>
              <w:rPr>
                <w:b/>
              </w:rPr>
              <w:t>What if I forgot to release?</w:t>
            </w:r>
            <w:r>
              <w:t xml:space="preserve"> Just go back to the project, press </w:t>
            </w:r>
            <w:r>
              <w:rPr>
                <w:b/>
              </w:rPr>
              <w:t>Release</w:t>
            </w:r>
            <w:r>
              <w:t xml:space="preserve">. You do </w:t>
            </w:r>
            <w:r>
              <w:rPr>
                <w:i/>
              </w:rPr>
              <w:t>not</w:t>
            </w:r>
            <w:r>
              <w:t xml:space="preserve"> need to save again — the central data is already up to date from the last </w:t>
            </w:r>
            <w:r>
              <w:rPr>
                <w:b/>
              </w:rPr>
              <w:t>Save</w:t>
            </w:r>
            <w:r>
              <w:t>.</w:t>
            </w:r>
          </w:p>
        </w:tc>
      </w:tr>
    </w:tbl>
    <w:p w14:paraId="16E2CACF" w14:textId="77777777" w:rsidR="00E71E41" w:rsidRDefault="00E71E41"/>
    <w:p w14:paraId="158B1881" w14:textId="77777777" w:rsidR="00E71E41" w:rsidRDefault="00000000">
      <w:pPr>
        <w:pStyle w:val="berschrift2"/>
      </w:pPr>
      <w:r>
        <w:lastRenderedPageBreak/>
        <w:t>Edit modes per view</w:t>
      </w:r>
    </w:p>
    <w:tbl>
      <w:tblPr>
        <w:tblW w:w="0" w:type="auto"/>
        <w:tblLook w:val="04A0" w:firstRow="1" w:lastRow="0" w:firstColumn="1" w:lastColumn="0" w:noHBand="0" w:noVBand="1"/>
      </w:tblPr>
      <w:tblGrid>
        <w:gridCol w:w="1928"/>
        <w:gridCol w:w="1928"/>
        <w:gridCol w:w="1928"/>
        <w:gridCol w:w="1928"/>
        <w:gridCol w:w="1928"/>
      </w:tblGrid>
      <w:tr w:rsidR="00E71E41" w14:paraId="129C6EAA" w14:textId="77777777">
        <w:tc>
          <w:tcPr>
            <w:tcW w:w="1928" w:type="dxa"/>
            <w:shd w:val="clear" w:color="auto" w:fill="0B3D91"/>
          </w:tcPr>
          <w:p w14:paraId="1437D446" w14:textId="77777777" w:rsidR="00E71E41" w:rsidRDefault="00000000">
            <w:r>
              <w:rPr>
                <w:b/>
                <w:color w:val="FFFFFF"/>
                <w:sz w:val="20"/>
              </w:rPr>
              <w:t>View</w:t>
            </w:r>
          </w:p>
        </w:tc>
        <w:tc>
          <w:tcPr>
            <w:tcW w:w="1928" w:type="dxa"/>
            <w:shd w:val="clear" w:color="auto" w:fill="0B3D91"/>
          </w:tcPr>
          <w:p w14:paraId="3CD738E1" w14:textId="77777777" w:rsidR="00E71E41" w:rsidRDefault="00000000">
            <w:r>
              <w:rPr>
                <w:b/>
                <w:color w:val="FFFFFF"/>
                <w:sz w:val="20"/>
              </w:rPr>
              <w:t>Edit mode</w:t>
            </w:r>
          </w:p>
        </w:tc>
        <w:tc>
          <w:tcPr>
            <w:tcW w:w="1928" w:type="dxa"/>
            <w:shd w:val="clear" w:color="auto" w:fill="0B3D91"/>
          </w:tcPr>
          <w:p w14:paraId="27ADD31A" w14:textId="77777777" w:rsidR="00E71E41" w:rsidRDefault="00000000">
            <w:r>
              <w:rPr>
                <w:b/>
                <w:color w:val="FFFFFF"/>
                <w:sz w:val="20"/>
              </w:rPr>
              <w:t>Save target</w:t>
            </w:r>
          </w:p>
        </w:tc>
        <w:tc>
          <w:tcPr>
            <w:tcW w:w="1928" w:type="dxa"/>
            <w:shd w:val="clear" w:color="auto" w:fill="0B3D91"/>
          </w:tcPr>
          <w:p w14:paraId="52884B3C" w14:textId="77777777" w:rsidR="00E71E41" w:rsidRDefault="00000000">
            <w:r>
              <w:rPr>
                <w:b/>
                <w:color w:val="FFFFFF"/>
                <w:sz w:val="20"/>
              </w:rPr>
              <w:t>Lock holder</w:t>
            </w:r>
          </w:p>
        </w:tc>
        <w:tc>
          <w:tcPr>
            <w:tcW w:w="1928" w:type="dxa"/>
            <w:shd w:val="clear" w:color="auto" w:fill="0B3D91"/>
          </w:tcPr>
          <w:p w14:paraId="51BB1EE1" w14:textId="77777777" w:rsidR="00E71E41" w:rsidRDefault="00000000">
            <w:r>
              <w:rPr>
                <w:b/>
                <w:color w:val="FFFFFF"/>
                <w:sz w:val="20"/>
              </w:rPr>
              <w:t>Notes</w:t>
            </w:r>
          </w:p>
        </w:tc>
      </w:tr>
      <w:tr w:rsidR="00E71E41" w14:paraId="7781A351" w14:textId="77777777">
        <w:tc>
          <w:tcPr>
            <w:tcW w:w="1928" w:type="dxa"/>
          </w:tcPr>
          <w:p w14:paraId="164E29D5" w14:textId="77777777" w:rsidR="00E71E41" w:rsidRDefault="00000000">
            <w:r>
              <w:rPr>
                <w:sz w:val="20"/>
              </w:rPr>
              <w:t>Attributes</w:t>
            </w:r>
          </w:p>
        </w:tc>
        <w:tc>
          <w:tcPr>
            <w:tcW w:w="1928" w:type="dxa"/>
          </w:tcPr>
          <w:p w14:paraId="4FA77B16" w14:textId="77777777" w:rsidR="00E71E41" w:rsidRDefault="00000000">
            <w:r>
              <w:rPr>
                <w:sz w:val="20"/>
              </w:rPr>
              <w:t>Save-only</w:t>
            </w:r>
          </w:p>
        </w:tc>
        <w:tc>
          <w:tcPr>
            <w:tcW w:w="1928" w:type="dxa"/>
          </w:tcPr>
          <w:p w14:paraId="6729E95C" w14:textId="77777777" w:rsidR="00E71E41" w:rsidRDefault="00000000">
            <w:r>
              <w:rPr>
                <w:sz w:val="20"/>
              </w:rPr>
              <w:t>Central</w:t>
            </w:r>
          </w:p>
        </w:tc>
        <w:tc>
          <w:tcPr>
            <w:tcW w:w="1928" w:type="dxa"/>
          </w:tcPr>
          <w:p w14:paraId="4DEA5D9D" w14:textId="77777777" w:rsidR="00E71E41" w:rsidRDefault="00000000">
            <w:r>
              <w:rPr>
                <w:sz w:val="20"/>
              </w:rPr>
              <w:t>none</w:t>
            </w:r>
          </w:p>
        </w:tc>
        <w:tc>
          <w:tcPr>
            <w:tcW w:w="1928" w:type="dxa"/>
          </w:tcPr>
          <w:p w14:paraId="33163F28" w14:textId="77777777" w:rsidR="00E71E41" w:rsidRDefault="00000000">
            <w:r>
              <w:rPr>
                <w:sz w:val="20"/>
              </w:rPr>
              <w:t>Save persists immediately.</w:t>
            </w:r>
          </w:p>
        </w:tc>
      </w:tr>
      <w:tr w:rsidR="00E71E41" w14:paraId="7DB26A4F" w14:textId="77777777">
        <w:tc>
          <w:tcPr>
            <w:tcW w:w="1928" w:type="dxa"/>
            <w:shd w:val="clear" w:color="auto" w:fill="F5F7FB"/>
          </w:tcPr>
          <w:p w14:paraId="436346B3" w14:textId="77777777" w:rsidR="00E71E41" w:rsidRDefault="00000000">
            <w:r>
              <w:rPr>
                <w:sz w:val="20"/>
              </w:rPr>
              <w:t>Allocations</w:t>
            </w:r>
          </w:p>
        </w:tc>
        <w:tc>
          <w:tcPr>
            <w:tcW w:w="1928" w:type="dxa"/>
            <w:shd w:val="clear" w:color="auto" w:fill="F5F7FB"/>
          </w:tcPr>
          <w:p w14:paraId="529C06A3" w14:textId="77777777" w:rsidR="00E71E41" w:rsidRDefault="00000000">
            <w:r>
              <w:rPr>
                <w:sz w:val="20"/>
              </w:rPr>
              <w:t xml:space="preserve">Checkout </w:t>
            </w:r>
            <w:r>
              <w:rPr>
                <w:noProof/>
                <w:sz w:val="20"/>
              </w:rPr>
              <w:drawing>
                <wp:inline distT="0" distB="0" distL="0" distR="0" wp14:anchorId="4582136F" wp14:editId="2A307333">
                  <wp:extent cx="152400" cy="15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lock.png"/>
                          <pic:cNvPicPr/>
                        </pic:nvPicPr>
                        <pic:blipFill>
                          <a:blip r:embed="rId18"/>
                          <a:stretch>
                            <a:fillRect/>
                          </a:stretch>
                        </pic:blipFill>
                        <pic:spPr>
                          <a:xfrm>
                            <a:off x="0" y="0"/>
                            <a:ext cx="152400" cy="152400"/>
                          </a:xfrm>
                          <a:prstGeom prst="rect">
                            <a:avLst/>
                          </a:prstGeom>
                        </pic:spPr>
                      </pic:pic>
                    </a:graphicData>
                  </a:graphic>
                </wp:inline>
              </w:drawing>
            </w:r>
          </w:p>
        </w:tc>
        <w:tc>
          <w:tcPr>
            <w:tcW w:w="1928" w:type="dxa"/>
            <w:shd w:val="clear" w:color="auto" w:fill="F5F7FB"/>
          </w:tcPr>
          <w:p w14:paraId="46B76B3D" w14:textId="77777777" w:rsidR="00E71E41" w:rsidRDefault="00000000">
            <w:r>
              <w:rPr>
                <w:sz w:val="20"/>
              </w:rPr>
              <w:t>Central, after Save</w:t>
            </w:r>
          </w:p>
        </w:tc>
        <w:tc>
          <w:tcPr>
            <w:tcW w:w="1928" w:type="dxa"/>
            <w:shd w:val="clear" w:color="auto" w:fill="F5F7FB"/>
          </w:tcPr>
          <w:p w14:paraId="0599DCB4" w14:textId="77777777" w:rsidR="00E71E41" w:rsidRDefault="00000000">
            <w:r>
              <w:rPr>
                <w:sz w:val="20"/>
              </w:rPr>
              <w:t>You, until Release</w:t>
            </w:r>
          </w:p>
        </w:tc>
        <w:tc>
          <w:tcPr>
            <w:tcW w:w="1928" w:type="dxa"/>
            <w:shd w:val="clear" w:color="auto" w:fill="F5F7FB"/>
          </w:tcPr>
          <w:p w14:paraId="7AB49B30" w14:textId="77777777" w:rsidR="00E71E41" w:rsidRDefault="00000000">
            <w:r>
              <w:rPr>
                <w:sz w:val="20"/>
              </w:rPr>
              <w:t>Mandays or Cost</w:t>
            </w:r>
          </w:p>
        </w:tc>
      </w:tr>
      <w:tr w:rsidR="00E71E41" w14:paraId="08DA4483" w14:textId="77777777">
        <w:tc>
          <w:tcPr>
            <w:tcW w:w="1928" w:type="dxa"/>
          </w:tcPr>
          <w:p w14:paraId="40A54BDD" w14:textId="77777777" w:rsidR="00E71E41" w:rsidRDefault="00000000">
            <w:r>
              <w:rPr>
                <w:sz w:val="20"/>
              </w:rPr>
              <w:t>Financials</w:t>
            </w:r>
          </w:p>
        </w:tc>
        <w:tc>
          <w:tcPr>
            <w:tcW w:w="1928" w:type="dxa"/>
          </w:tcPr>
          <w:p w14:paraId="205C3E2B" w14:textId="77777777" w:rsidR="00E71E41" w:rsidRDefault="00000000">
            <w:r>
              <w:rPr>
                <w:sz w:val="20"/>
              </w:rPr>
              <w:t xml:space="preserve">Checkout </w:t>
            </w:r>
            <w:r>
              <w:rPr>
                <w:noProof/>
                <w:sz w:val="20"/>
              </w:rPr>
              <w:drawing>
                <wp:inline distT="0" distB="0" distL="0" distR="0" wp14:anchorId="1FC03842" wp14:editId="2C3AEF74">
                  <wp:extent cx="152400" cy="152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lock.png"/>
                          <pic:cNvPicPr/>
                        </pic:nvPicPr>
                        <pic:blipFill>
                          <a:blip r:embed="rId18"/>
                          <a:stretch>
                            <a:fillRect/>
                          </a:stretch>
                        </pic:blipFill>
                        <pic:spPr>
                          <a:xfrm>
                            <a:off x="0" y="0"/>
                            <a:ext cx="152400" cy="152400"/>
                          </a:xfrm>
                          <a:prstGeom prst="rect">
                            <a:avLst/>
                          </a:prstGeom>
                        </pic:spPr>
                      </pic:pic>
                    </a:graphicData>
                  </a:graphic>
                </wp:inline>
              </w:drawing>
            </w:r>
          </w:p>
        </w:tc>
        <w:tc>
          <w:tcPr>
            <w:tcW w:w="1928" w:type="dxa"/>
          </w:tcPr>
          <w:p w14:paraId="0DC9CC25" w14:textId="77777777" w:rsidR="00E71E41" w:rsidRDefault="00000000">
            <w:r>
              <w:rPr>
                <w:sz w:val="20"/>
              </w:rPr>
              <w:t>Central, after Save</w:t>
            </w:r>
          </w:p>
        </w:tc>
        <w:tc>
          <w:tcPr>
            <w:tcW w:w="1928" w:type="dxa"/>
          </w:tcPr>
          <w:p w14:paraId="11A956B9" w14:textId="77777777" w:rsidR="00E71E41" w:rsidRDefault="00000000">
            <w:r>
              <w:rPr>
                <w:sz w:val="20"/>
              </w:rPr>
              <w:t>You, until Release</w:t>
            </w:r>
          </w:p>
        </w:tc>
        <w:tc>
          <w:tcPr>
            <w:tcW w:w="1928" w:type="dxa"/>
          </w:tcPr>
          <w:p w14:paraId="2870C249" w14:textId="77777777" w:rsidR="00E71E41" w:rsidRDefault="00000000">
            <w:r>
              <w:rPr>
                <w:sz w:val="20"/>
              </w:rPr>
              <w:t>Non-labor cost lines</w:t>
            </w:r>
          </w:p>
        </w:tc>
      </w:tr>
    </w:tbl>
    <w:p w14:paraId="38830ED6" w14:textId="77777777" w:rsidR="00E71E41" w:rsidRDefault="00E71E41"/>
    <w:p w14:paraId="16DCF8E4" w14:textId="77777777" w:rsidR="00E71E41" w:rsidRDefault="00000000">
      <w:pPr>
        <w:pStyle w:val="berschrift2"/>
      </w:pPr>
      <w:r>
        <w:t>What "the central plan" means</w:t>
      </w:r>
    </w:p>
    <w:p w14:paraId="364511CE" w14:textId="77777777" w:rsidR="00E71E41" w:rsidRDefault="00000000">
      <w:r>
        <w:t xml:space="preserve">Whenever this guide mentions </w:t>
      </w:r>
      <w:r>
        <w:rPr>
          <w:i/>
        </w:rPr>
        <w:t>"the central plan"</w:t>
      </w:r>
      <w:r>
        <w:t xml:space="preserve">, it refers to the record of truth that all reports, the Resource Managers' BPA flatgrid and the Knauf finance dashboards read from. Your draft edits do </w:t>
      </w:r>
      <w:r>
        <w:rPr>
          <w:b/>
        </w:rPr>
        <w:t>not</w:t>
      </w:r>
      <w:r>
        <w:t xml:space="preserve"> affect that record until you press </w:t>
      </w:r>
      <w:r>
        <w:rPr>
          <w:b/>
        </w:rPr>
        <w:t>Save</w:t>
      </w:r>
      <w:r>
        <w:t xml:space="preserve">. That is by design — it lets you try out scenarios without anyone else seeing half-baked numbers. The flipside is that you really must remember to </w:t>
      </w:r>
      <w:r>
        <w:rPr>
          <w:b/>
        </w:rPr>
        <w:t>Save and Release</w:t>
      </w:r>
      <w:r>
        <w:t>; otherwise your work neither shows up in the plan nor frees the project for the rest of the team.</w:t>
      </w:r>
    </w:p>
    <w:p w14:paraId="12C8D08C" w14:textId="77777777" w:rsidR="00E71E41" w:rsidRDefault="00000000">
      <w:r>
        <w:br w:type="page"/>
      </w:r>
    </w:p>
    <w:p w14:paraId="3CF553FD" w14:textId="77777777" w:rsidR="00E71E41" w:rsidRDefault="00000000">
      <w:pPr>
        <w:pStyle w:val="berschrift1"/>
      </w:pPr>
      <w:r>
        <w:lastRenderedPageBreak/>
        <w:t>8. Reports</w:t>
      </w:r>
    </w:p>
    <w:p w14:paraId="2AA3F58A" w14:textId="77777777" w:rsidR="00E71E41" w:rsidRDefault="00000000">
      <w:r>
        <w:t xml:space="preserve">The </w:t>
      </w:r>
      <w:r>
        <w:rPr>
          <w:b/>
        </w:rPr>
        <w:t>Report Management</w:t>
      </w:r>
      <w:r>
        <w:t xml:space="preserve"> tile on the homescreen leads to the library of standard Knauf reports — portfolio dashboards, financial roll-ups, allocation overviews, and resource utilisation views built and curated by the PMO. As a PM/SM you only </w:t>
      </w:r>
      <w:r>
        <w:rPr>
          <w:i/>
        </w:rPr>
        <w:t>consume</w:t>
      </w:r>
      <w:r>
        <w:t xml:space="preserve"> these reports; authoring is done by the PMO.</w:t>
      </w:r>
    </w:p>
    <w:p w14:paraId="6F0F86CC" w14:textId="77777777" w:rsidR="00E71E41" w:rsidRDefault="00000000">
      <w:pPr>
        <w:jc w:val="center"/>
      </w:pPr>
      <w:r>
        <w:rPr>
          <w:noProof/>
        </w:rPr>
        <w:drawing>
          <wp:inline distT="0" distB="0" distL="0" distR="0" wp14:anchorId="6C0106CF" wp14:editId="7E6F32F3">
            <wp:extent cx="5180109" cy="482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ports_annot.png"/>
                    <pic:cNvPicPr/>
                  </pic:nvPicPr>
                  <pic:blipFill>
                    <a:blip r:embed="rId35"/>
                    <a:stretch>
                      <a:fillRect/>
                    </a:stretch>
                  </pic:blipFill>
                  <pic:spPr>
                    <a:xfrm>
                      <a:off x="0" y="0"/>
                      <a:ext cx="5180109" cy="4826000"/>
                    </a:xfrm>
                    <a:prstGeom prst="rect">
                      <a:avLst/>
                    </a:prstGeom>
                  </pic:spPr>
                </pic:pic>
              </a:graphicData>
            </a:graphic>
          </wp:inline>
        </w:drawing>
      </w:r>
    </w:p>
    <w:p w14:paraId="41B32DE1" w14:textId="77777777" w:rsidR="00E71E41" w:rsidRDefault="00000000">
      <w:pPr>
        <w:jc w:val="center"/>
      </w:pPr>
      <w:r>
        <w:rPr>
          <w:i/>
          <w:sz w:val="18"/>
        </w:rPr>
        <w:t>Report Management library</w:t>
      </w:r>
    </w:p>
    <w:p w14:paraId="11F3EEA0" w14:textId="77777777" w:rsidR="00E71E41" w:rsidRDefault="00000000">
      <w:r>
        <w:t xml:space="preserve">The page shows two helpful controls at the top of the list. Box </w:t>
      </w:r>
      <w:r>
        <w:rPr>
          <w:b/>
        </w:rPr>
        <w:t>(1)</w:t>
      </w:r>
      <w:r>
        <w:t xml:space="preserve"> is the </w:t>
      </w:r>
      <w:r>
        <w:rPr>
          <w:b/>
        </w:rPr>
        <w:t>All / Mine</w:t>
      </w:r>
      <w:r>
        <w:t xml:space="preserve"> toggle — flip it to </w:t>
      </w:r>
      <w:r>
        <w:rPr>
          <w:i/>
        </w:rPr>
        <w:t>Mine</w:t>
      </w:r>
      <w:r>
        <w:t xml:space="preserve"> to see only reports that you have personally subscribed to (via the </w:t>
      </w:r>
      <w:r>
        <w:rPr>
          <w:b/>
        </w:rPr>
        <w:t>Subscriptions</w:t>
      </w:r>
      <w:r>
        <w:t xml:space="preserve"> menu in your avatar dropdown). Box </w:t>
      </w:r>
      <w:r>
        <w:rPr>
          <w:b/>
        </w:rPr>
        <w:t>(2)</w:t>
      </w:r>
      <w:r>
        <w:t xml:space="preserve"> is the </w:t>
      </w:r>
      <w:r>
        <w:rPr>
          <w:b/>
        </w:rPr>
        <w:t>Search</w:t>
      </w:r>
      <w:r>
        <w:t xml:space="preserve"> box that filters the library by report name in real time.</w:t>
      </w:r>
    </w:p>
    <w:p w14:paraId="56163A74" w14:textId="77777777" w:rsidR="00E71E41" w:rsidRDefault="00000000">
      <w:r>
        <w:t xml:space="preserve">To run a report, click its title. Most reports open in a new tab with a parameter prompt (typically </w:t>
      </w:r>
      <w:r>
        <w:rPr>
          <w:i/>
        </w:rPr>
        <w:t>Portfolio</w:t>
      </w:r>
      <w:r>
        <w:t xml:space="preserve">, </w:t>
      </w:r>
      <w:r>
        <w:rPr>
          <w:i/>
        </w:rPr>
        <w:t>Time frame</w:t>
      </w:r>
      <w:r>
        <w:t xml:space="preserve">, </w:t>
      </w:r>
      <w:r>
        <w:rPr>
          <w:i/>
        </w:rPr>
        <w:t>Above Red Line</w:t>
      </w:r>
      <w:r>
        <w:t xml:space="preserve">). Set the parameters and press </w:t>
      </w:r>
      <w:r>
        <w:rPr>
          <w:b/>
        </w:rPr>
        <w:t>Run</w:t>
      </w:r>
      <w:r>
        <w:t>. The result can be exported to Excel or PDF from the toolbar of the result page.</w:t>
      </w:r>
    </w:p>
    <w:tbl>
      <w:tblPr>
        <w:tblW w:w="0" w:type="auto"/>
        <w:tblLook w:val="04A0" w:firstRow="1" w:lastRow="0" w:firstColumn="1" w:lastColumn="0" w:noHBand="0" w:noVBand="1"/>
      </w:tblPr>
      <w:tblGrid>
        <w:gridCol w:w="9972"/>
      </w:tblGrid>
      <w:tr w:rsidR="00E71E41" w14:paraId="39495B71" w14:textId="77777777">
        <w:tc>
          <w:tcPr>
            <w:tcW w:w="9972" w:type="dxa"/>
            <w:shd w:val="clear" w:color="auto" w:fill="EAF7EE"/>
          </w:tcPr>
          <w:p w14:paraId="2DCD552D" w14:textId="77777777" w:rsidR="00E71E41" w:rsidRDefault="00000000">
            <w:r>
              <w:rPr>
                <w:b/>
                <w:color w:val="1E7A3C"/>
              </w:rPr>
              <w:t xml:space="preserve">Tip: </w:t>
            </w:r>
            <w:r>
              <w:rPr>
                <w:b/>
              </w:rPr>
              <w:t>Subscribing.</w:t>
            </w:r>
            <w:r>
              <w:t xml:space="preserve"> If you find yourself running the same report every Monday morning, open it, click </w:t>
            </w:r>
            <w:r>
              <w:rPr>
                <w:i/>
              </w:rPr>
              <w:t>Subscribe</w:t>
            </w:r>
            <w:r>
              <w:t xml:space="preserve"> </w:t>
            </w:r>
            <w:r>
              <w:lastRenderedPageBreak/>
              <w:t>in the toolbar and pick the weekly cadence. Tempus will email you the rendered report on schedule.</w:t>
            </w:r>
          </w:p>
        </w:tc>
      </w:tr>
    </w:tbl>
    <w:p w14:paraId="4E45CB73" w14:textId="77777777" w:rsidR="00E71E41" w:rsidRDefault="00E71E41"/>
    <w:p w14:paraId="669AECF7" w14:textId="77777777" w:rsidR="00E71E41" w:rsidRDefault="00000000">
      <w:r>
        <w:t>---</w:t>
      </w:r>
    </w:p>
    <w:p w14:paraId="6081B90A" w14:textId="77777777" w:rsidR="00E71E41" w:rsidRDefault="00000000">
      <w:r>
        <w:br w:type="page"/>
      </w:r>
    </w:p>
    <w:p w14:paraId="6BA49164" w14:textId="77777777" w:rsidR="00E71E41" w:rsidRDefault="00000000">
      <w:pPr>
        <w:pStyle w:val="berschrift1"/>
      </w:pPr>
      <w:r>
        <w:lastRenderedPageBreak/>
        <w:t>9. Quick reference</w:t>
      </w:r>
    </w:p>
    <w:p w14:paraId="236AA496" w14:textId="77777777" w:rsidR="00E71E41" w:rsidRDefault="00000000">
      <w:r>
        <w:t>This section is the cheat sheet you can keep open while you work. It collects the icons, shortcuts and remedies for the recurring questions that PMs/SMs ask in their first weeks with Tempus.</w:t>
      </w:r>
    </w:p>
    <w:p w14:paraId="4D38E0B0" w14:textId="77777777" w:rsidR="00E71E41" w:rsidRDefault="00000000">
      <w:pPr>
        <w:pStyle w:val="berschrift2"/>
      </w:pPr>
      <w:r>
        <w:t>Icon cheat sheet</w:t>
      </w:r>
    </w:p>
    <w:tbl>
      <w:tblPr>
        <w:tblW w:w="0" w:type="auto"/>
        <w:tblLook w:val="04A0" w:firstRow="1" w:lastRow="0" w:firstColumn="1" w:lastColumn="0" w:noHBand="0" w:noVBand="1"/>
      </w:tblPr>
      <w:tblGrid>
        <w:gridCol w:w="3213"/>
        <w:gridCol w:w="3213"/>
        <w:gridCol w:w="3213"/>
      </w:tblGrid>
      <w:tr w:rsidR="00E71E41" w14:paraId="1A4E5F75" w14:textId="77777777">
        <w:tc>
          <w:tcPr>
            <w:tcW w:w="3213" w:type="dxa"/>
            <w:shd w:val="clear" w:color="auto" w:fill="0B3D91"/>
          </w:tcPr>
          <w:p w14:paraId="1A10A3BF" w14:textId="77777777" w:rsidR="00E71E41" w:rsidRDefault="00000000">
            <w:r>
              <w:rPr>
                <w:b/>
                <w:color w:val="FFFFFF"/>
                <w:sz w:val="20"/>
              </w:rPr>
              <w:t>Inline</w:t>
            </w:r>
          </w:p>
        </w:tc>
        <w:tc>
          <w:tcPr>
            <w:tcW w:w="3213" w:type="dxa"/>
            <w:shd w:val="clear" w:color="auto" w:fill="0B3D91"/>
          </w:tcPr>
          <w:p w14:paraId="0B6687C5" w14:textId="77777777" w:rsidR="00E71E41" w:rsidRDefault="00000000">
            <w:r>
              <w:rPr>
                <w:b/>
                <w:color w:val="FFFFFF"/>
                <w:sz w:val="20"/>
              </w:rPr>
              <w:t>Where you see it</w:t>
            </w:r>
          </w:p>
        </w:tc>
        <w:tc>
          <w:tcPr>
            <w:tcW w:w="3213" w:type="dxa"/>
            <w:shd w:val="clear" w:color="auto" w:fill="0B3D91"/>
          </w:tcPr>
          <w:p w14:paraId="77733893" w14:textId="77777777" w:rsidR="00E71E41" w:rsidRDefault="00000000">
            <w:r>
              <w:rPr>
                <w:b/>
                <w:color w:val="FFFFFF"/>
                <w:sz w:val="20"/>
              </w:rPr>
              <w:t>Meaning</w:t>
            </w:r>
          </w:p>
        </w:tc>
      </w:tr>
      <w:tr w:rsidR="00E71E41" w14:paraId="61B25AB4" w14:textId="77777777">
        <w:tc>
          <w:tcPr>
            <w:tcW w:w="3213" w:type="dxa"/>
          </w:tcPr>
          <w:p w14:paraId="4BB0CF50" w14:textId="77777777" w:rsidR="00E71E41" w:rsidRDefault="00000000">
            <w:r>
              <w:rPr>
                <w:noProof/>
                <w:sz w:val="20"/>
              </w:rPr>
              <w:drawing>
                <wp:inline distT="0" distB="0" distL="0" distR="0" wp14:anchorId="0B0288F2" wp14:editId="7B4C5858">
                  <wp:extent cx="14732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search.png"/>
                          <pic:cNvPicPr/>
                        </pic:nvPicPr>
                        <pic:blipFill>
                          <a:blip r:embed="rId9"/>
                          <a:stretch>
                            <a:fillRect/>
                          </a:stretch>
                        </pic:blipFill>
                        <pic:spPr>
                          <a:xfrm>
                            <a:off x="0" y="0"/>
                            <a:ext cx="147320" cy="152400"/>
                          </a:xfrm>
                          <a:prstGeom prst="rect">
                            <a:avLst/>
                          </a:prstGeom>
                        </pic:spPr>
                      </pic:pic>
                    </a:graphicData>
                  </a:graphic>
                </wp:inline>
              </w:drawing>
            </w:r>
          </w:p>
        </w:tc>
        <w:tc>
          <w:tcPr>
            <w:tcW w:w="3213" w:type="dxa"/>
          </w:tcPr>
          <w:p w14:paraId="590E18A9" w14:textId="77777777" w:rsidR="00E71E41" w:rsidRDefault="00000000">
            <w:r>
              <w:rPr>
                <w:sz w:val="20"/>
              </w:rPr>
              <w:t>Top bar</w:t>
            </w:r>
          </w:p>
        </w:tc>
        <w:tc>
          <w:tcPr>
            <w:tcW w:w="3213" w:type="dxa"/>
          </w:tcPr>
          <w:p w14:paraId="0CD4FB1E" w14:textId="77777777" w:rsidR="00E71E41" w:rsidRDefault="00000000">
            <w:r>
              <w:rPr>
                <w:sz w:val="20"/>
              </w:rPr>
              <w:t>Global search</w:t>
            </w:r>
          </w:p>
        </w:tc>
      </w:tr>
      <w:tr w:rsidR="00E71E41" w14:paraId="36388E4F" w14:textId="77777777">
        <w:tc>
          <w:tcPr>
            <w:tcW w:w="3213" w:type="dxa"/>
            <w:shd w:val="clear" w:color="auto" w:fill="F5F7FB"/>
          </w:tcPr>
          <w:p w14:paraId="124E9D0F" w14:textId="77777777" w:rsidR="00E71E41" w:rsidRDefault="00000000">
            <w:r>
              <w:rPr>
                <w:noProof/>
                <w:sz w:val="20"/>
              </w:rPr>
              <w:drawing>
                <wp:inline distT="0" distB="0" distL="0" distR="0" wp14:anchorId="3AE61D28" wp14:editId="28F964AB">
                  <wp:extent cx="152400" cy="15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bell.png"/>
                          <pic:cNvPicPr/>
                        </pic:nvPicPr>
                        <pic:blipFill>
                          <a:blip r:embed="rId10"/>
                          <a:stretch>
                            <a:fillRect/>
                          </a:stretch>
                        </pic:blipFill>
                        <pic:spPr>
                          <a:xfrm>
                            <a:off x="0" y="0"/>
                            <a:ext cx="152400" cy="152400"/>
                          </a:xfrm>
                          <a:prstGeom prst="rect">
                            <a:avLst/>
                          </a:prstGeom>
                        </pic:spPr>
                      </pic:pic>
                    </a:graphicData>
                  </a:graphic>
                </wp:inline>
              </w:drawing>
            </w:r>
          </w:p>
        </w:tc>
        <w:tc>
          <w:tcPr>
            <w:tcW w:w="3213" w:type="dxa"/>
            <w:shd w:val="clear" w:color="auto" w:fill="F5F7FB"/>
          </w:tcPr>
          <w:p w14:paraId="6CEC10FA" w14:textId="77777777" w:rsidR="00E71E41" w:rsidRDefault="00000000">
            <w:r>
              <w:rPr>
                <w:sz w:val="20"/>
              </w:rPr>
              <w:t>Top bar</w:t>
            </w:r>
          </w:p>
        </w:tc>
        <w:tc>
          <w:tcPr>
            <w:tcW w:w="3213" w:type="dxa"/>
            <w:shd w:val="clear" w:color="auto" w:fill="F5F7FB"/>
          </w:tcPr>
          <w:p w14:paraId="3754406E" w14:textId="77777777" w:rsidR="00E71E41" w:rsidRDefault="00000000">
            <w:r>
              <w:rPr>
                <w:sz w:val="20"/>
              </w:rPr>
              <w:t>System notifications (red dot = unread)</w:t>
            </w:r>
          </w:p>
        </w:tc>
      </w:tr>
      <w:tr w:rsidR="00E71E41" w14:paraId="6A17F529" w14:textId="77777777">
        <w:tc>
          <w:tcPr>
            <w:tcW w:w="3213" w:type="dxa"/>
          </w:tcPr>
          <w:p w14:paraId="32B83814" w14:textId="77777777" w:rsidR="00E71E41" w:rsidRDefault="00000000">
            <w:r>
              <w:rPr>
                <w:noProof/>
                <w:sz w:val="20"/>
              </w:rPr>
              <w:drawing>
                <wp:inline distT="0" distB="0" distL="0" distR="0" wp14:anchorId="0297C57F" wp14:editId="138056A8">
                  <wp:extent cx="147320" cy="15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menu.png"/>
                          <pic:cNvPicPr/>
                        </pic:nvPicPr>
                        <pic:blipFill>
                          <a:blip r:embed="rId11"/>
                          <a:stretch>
                            <a:fillRect/>
                          </a:stretch>
                        </pic:blipFill>
                        <pic:spPr>
                          <a:xfrm>
                            <a:off x="0" y="0"/>
                            <a:ext cx="147320" cy="152400"/>
                          </a:xfrm>
                          <a:prstGeom prst="rect">
                            <a:avLst/>
                          </a:prstGeom>
                        </pic:spPr>
                      </pic:pic>
                    </a:graphicData>
                  </a:graphic>
                </wp:inline>
              </w:drawing>
            </w:r>
          </w:p>
        </w:tc>
        <w:tc>
          <w:tcPr>
            <w:tcW w:w="3213" w:type="dxa"/>
          </w:tcPr>
          <w:p w14:paraId="604C26C3" w14:textId="77777777" w:rsidR="00E71E41" w:rsidRDefault="00000000">
            <w:r>
              <w:rPr>
                <w:sz w:val="20"/>
              </w:rPr>
              <w:t>Top bar</w:t>
            </w:r>
          </w:p>
        </w:tc>
        <w:tc>
          <w:tcPr>
            <w:tcW w:w="3213" w:type="dxa"/>
          </w:tcPr>
          <w:p w14:paraId="6477FC53" w14:textId="77777777" w:rsidR="00E71E41" w:rsidRDefault="00000000">
            <w:r>
              <w:rPr>
                <w:sz w:val="20"/>
              </w:rPr>
              <w:t>Module shortcut menu</w:t>
            </w:r>
          </w:p>
        </w:tc>
      </w:tr>
      <w:tr w:rsidR="00E71E41" w14:paraId="29012E92" w14:textId="77777777">
        <w:tc>
          <w:tcPr>
            <w:tcW w:w="3213" w:type="dxa"/>
            <w:shd w:val="clear" w:color="auto" w:fill="F5F7FB"/>
          </w:tcPr>
          <w:p w14:paraId="34250D26" w14:textId="77777777" w:rsidR="00E71E41" w:rsidRDefault="00000000">
            <w:r>
              <w:rPr>
                <w:noProof/>
                <w:sz w:val="20"/>
              </w:rPr>
              <w:drawing>
                <wp:inline distT="0" distB="0" distL="0" distR="0" wp14:anchorId="3D892361" wp14:editId="511F217F">
                  <wp:extent cx="147320"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help.png"/>
                          <pic:cNvPicPr/>
                        </pic:nvPicPr>
                        <pic:blipFill>
                          <a:blip r:embed="rId12"/>
                          <a:stretch>
                            <a:fillRect/>
                          </a:stretch>
                        </pic:blipFill>
                        <pic:spPr>
                          <a:xfrm>
                            <a:off x="0" y="0"/>
                            <a:ext cx="147320" cy="152400"/>
                          </a:xfrm>
                          <a:prstGeom prst="rect">
                            <a:avLst/>
                          </a:prstGeom>
                        </pic:spPr>
                      </pic:pic>
                    </a:graphicData>
                  </a:graphic>
                </wp:inline>
              </w:drawing>
            </w:r>
          </w:p>
        </w:tc>
        <w:tc>
          <w:tcPr>
            <w:tcW w:w="3213" w:type="dxa"/>
            <w:shd w:val="clear" w:color="auto" w:fill="F5F7FB"/>
          </w:tcPr>
          <w:p w14:paraId="0C7629D3" w14:textId="77777777" w:rsidR="00E71E41" w:rsidRDefault="00000000">
            <w:r>
              <w:rPr>
                <w:sz w:val="20"/>
              </w:rPr>
              <w:t>Top bar</w:t>
            </w:r>
          </w:p>
        </w:tc>
        <w:tc>
          <w:tcPr>
            <w:tcW w:w="3213" w:type="dxa"/>
            <w:shd w:val="clear" w:color="auto" w:fill="F5F7FB"/>
          </w:tcPr>
          <w:p w14:paraId="2C2F2DEA" w14:textId="77777777" w:rsidR="00E71E41" w:rsidRDefault="00000000">
            <w:r>
              <w:rPr>
                <w:sz w:val="20"/>
              </w:rPr>
              <w:t>ProSymmetry Help Center</w:t>
            </w:r>
          </w:p>
        </w:tc>
      </w:tr>
      <w:tr w:rsidR="00E71E41" w14:paraId="01DA1511" w14:textId="77777777">
        <w:tc>
          <w:tcPr>
            <w:tcW w:w="3213" w:type="dxa"/>
          </w:tcPr>
          <w:p w14:paraId="2D64523C" w14:textId="77777777" w:rsidR="00E71E41" w:rsidRDefault="00000000">
            <w:r>
              <w:rPr>
                <w:noProof/>
                <w:sz w:val="20"/>
              </w:rPr>
              <w:drawing>
                <wp:inline distT="0" distB="0" distL="0" distR="0" wp14:anchorId="3254D623" wp14:editId="7BA7BDC0">
                  <wp:extent cx="94129" cy="152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rag_handle.png"/>
                          <pic:cNvPicPr/>
                        </pic:nvPicPr>
                        <pic:blipFill>
                          <a:blip r:embed="rId17"/>
                          <a:stretch>
                            <a:fillRect/>
                          </a:stretch>
                        </pic:blipFill>
                        <pic:spPr>
                          <a:xfrm>
                            <a:off x="0" y="0"/>
                            <a:ext cx="94129" cy="152400"/>
                          </a:xfrm>
                          <a:prstGeom prst="rect">
                            <a:avLst/>
                          </a:prstGeom>
                        </pic:spPr>
                      </pic:pic>
                    </a:graphicData>
                  </a:graphic>
                </wp:inline>
              </w:drawing>
            </w:r>
          </w:p>
        </w:tc>
        <w:tc>
          <w:tcPr>
            <w:tcW w:w="3213" w:type="dxa"/>
          </w:tcPr>
          <w:p w14:paraId="7CB38E4D" w14:textId="77777777" w:rsidR="00E71E41" w:rsidRDefault="00000000">
            <w:r>
              <w:rPr>
                <w:sz w:val="20"/>
              </w:rPr>
              <w:t>View Manager</w:t>
            </w:r>
          </w:p>
        </w:tc>
        <w:tc>
          <w:tcPr>
            <w:tcW w:w="3213" w:type="dxa"/>
          </w:tcPr>
          <w:p w14:paraId="0F671D42" w14:textId="77777777" w:rsidR="00E71E41" w:rsidRDefault="00000000">
            <w:r>
              <w:rPr>
                <w:sz w:val="20"/>
              </w:rPr>
              <w:t>Reorder views</w:t>
            </w:r>
          </w:p>
        </w:tc>
      </w:tr>
      <w:tr w:rsidR="00E71E41" w14:paraId="22EA119D" w14:textId="77777777">
        <w:tc>
          <w:tcPr>
            <w:tcW w:w="3213" w:type="dxa"/>
            <w:shd w:val="clear" w:color="auto" w:fill="F5F7FB"/>
          </w:tcPr>
          <w:p w14:paraId="2666E779" w14:textId="77777777" w:rsidR="00E71E41" w:rsidRDefault="00000000">
            <w:r>
              <w:rPr>
                <w:noProof/>
                <w:sz w:val="20"/>
              </w:rPr>
              <w:drawing>
                <wp:inline distT="0" distB="0" distL="0" distR="0" wp14:anchorId="6D276210" wp14:editId="1AE9EEA2">
                  <wp:extent cx="152400" cy="152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lock.png"/>
                          <pic:cNvPicPr/>
                        </pic:nvPicPr>
                        <pic:blipFill>
                          <a:blip r:embed="rId18"/>
                          <a:stretch>
                            <a:fillRect/>
                          </a:stretch>
                        </pic:blipFill>
                        <pic:spPr>
                          <a:xfrm>
                            <a:off x="0" y="0"/>
                            <a:ext cx="152400" cy="152400"/>
                          </a:xfrm>
                          <a:prstGeom prst="rect">
                            <a:avLst/>
                          </a:prstGeom>
                        </pic:spPr>
                      </pic:pic>
                    </a:graphicData>
                  </a:graphic>
                </wp:inline>
              </w:drawing>
            </w:r>
          </w:p>
        </w:tc>
        <w:tc>
          <w:tcPr>
            <w:tcW w:w="3213" w:type="dxa"/>
            <w:shd w:val="clear" w:color="auto" w:fill="F5F7FB"/>
          </w:tcPr>
          <w:p w14:paraId="54CACC93" w14:textId="77777777" w:rsidR="00E71E41" w:rsidRDefault="00000000">
            <w:r>
              <w:rPr>
                <w:sz w:val="20"/>
              </w:rPr>
              <w:t>View Manager / project header</w:t>
            </w:r>
          </w:p>
        </w:tc>
        <w:tc>
          <w:tcPr>
            <w:tcW w:w="3213" w:type="dxa"/>
            <w:shd w:val="clear" w:color="auto" w:fill="F5F7FB"/>
          </w:tcPr>
          <w:p w14:paraId="0316F60D" w14:textId="77777777" w:rsidR="00E71E41" w:rsidRDefault="00000000">
            <w:r>
              <w:rPr>
                <w:sz w:val="20"/>
              </w:rPr>
              <w:t>Locked view or checked-out project</w:t>
            </w:r>
          </w:p>
        </w:tc>
      </w:tr>
      <w:tr w:rsidR="00E71E41" w14:paraId="11D9D4D2" w14:textId="77777777">
        <w:tc>
          <w:tcPr>
            <w:tcW w:w="3213" w:type="dxa"/>
          </w:tcPr>
          <w:p w14:paraId="08B2730E" w14:textId="77777777" w:rsidR="00E71E41" w:rsidRDefault="00000000">
            <w:r>
              <w:rPr>
                <w:noProof/>
                <w:sz w:val="20"/>
              </w:rPr>
              <w:drawing>
                <wp:inline distT="0" distB="0" distL="0" distR="0" wp14:anchorId="1B748935" wp14:editId="60C06D40">
                  <wp:extent cx="112059" cy="15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efault_star_filled.png"/>
                          <pic:cNvPicPr/>
                        </pic:nvPicPr>
                        <pic:blipFill>
                          <a:blip r:embed="rId19"/>
                          <a:stretch>
                            <a:fillRect/>
                          </a:stretch>
                        </pic:blipFill>
                        <pic:spPr>
                          <a:xfrm>
                            <a:off x="0" y="0"/>
                            <a:ext cx="112059" cy="152400"/>
                          </a:xfrm>
                          <a:prstGeom prst="rect">
                            <a:avLst/>
                          </a:prstGeom>
                        </pic:spPr>
                      </pic:pic>
                    </a:graphicData>
                  </a:graphic>
                </wp:inline>
              </w:drawing>
            </w:r>
          </w:p>
        </w:tc>
        <w:tc>
          <w:tcPr>
            <w:tcW w:w="3213" w:type="dxa"/>
          </w:tcPr>
          <w:p w14:paraId="40F4A159" w14:textId="77777777" w:rsidR="00E71E41" w:rsidRDefault="00000000">
            <w:r>
              <w:rPr>
                <w:sz w:val="20"/>
              </w:rPr>
              <w:t>View Manager</w:t>
            </w:r>
          </w:p>
        </w:tc>
        <w:tc>
          <w:tcPr>
            <w:tcW w:w="3213" w:type="dxa"/>
          </w:tcPr>
          <w:p w14:paraId="03DEB531" w14:textId="77777777" w:rsidR="00E71E41" w:rsidRDefault="00000000">
            <w:r>
              <w:rPr>
                <w:sz w:val="20"/>
              </w:rPr>
              <w:t>The current personal default view</w:t>
            </w:r>
          </w:p>
        </w:tc>
      </w:tr>
      <w:tr w:rsidR="00E71E41" w14:paraId="1C576D9A" w14:textId="77777777">
        <w:tc>
          <w:tcPr>
            <w:tcW w:w="3213" w:type="dxa"/>
            <w:shd w:val="clear" w:color="auto" w:fill="F5F7FB"/>
          </w:tcPr>
          <w:p w14:paraId="6CC642B8" w14:textId="77777777" w:rsidR="00E71E41" w:rsidRDefault="00000000">
            <w:r>
              <w:rPr>
                <w:noProof/>
                <w:sz w:val="20"/>
              </w:rPr>
              <w:drawing>
                <wp:inline distT="0" distB="0" distL="0" distR="0" wp14:anchorId="512C1687" wp14:editId="23691090">
                  <wp:extent cx="112059" cy="15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efault_star_outline.png"/>
                          <pic:cNvPicPr/>
                        </pic:nvPicPr>
                        <pic:blipFill>
                          <a:blip r:embed="rId20"/>
                          <a:stretch>
                            <a:fillRect/>
                          </a:stretch>
                        </pic:blipFill>
                        <pic:spPr>
                          <a:xfrm>
                            <a:off x="0" y="0"/>
                            <a:ext cx="112059" cy="152400"/>
                          </a:xfrm>
                          <a:prstGeom prst="rect">
                            <a:avLst/>
                          </a:prstGeom>
                        </pic:spPr>
                      </pic:pic>
                    </a:graphicData>
                  </a:graphic>
                </wp:inline>
              </w:drawing>
            </w:r>
          </w:p>
        </w:tc>
        <w:tc>
          <w:tcPr>
            <w:tcW w:w="3213" w:type="dxa"/>
            <w:shd w:val="clear" w:color="auto" w:fill="F5F7FB"/>
          </w:tcPr>
          <w:p w14:paraId="0CFA8329" w14:textId="77777777" w:rsidR="00E71E41" w:rsidRDefault="00000000">
            <w:r>
              <w:rPr>
                <w:sz w:val="20"/>
              </w:rPr>
              <w:t>View Manager</w:t>
            </w:r>
          </w:p>
        </w:tc>
        <w:tc>
          <w:tcPr>
            <w:tcW w:w="3213" w:type="dxa"/>
            <w:shd w:val="clear" w:color="auto" w:fill="F5F7FB"/>
          </w:tcPr>
          <w:p w14:paraId="0186682E" w14:textId="77777777" w:rsidR="00E71E41" w:rsidRDefault="00000000">
            <w:r>
              <w:rPr>
                <w:sz w:val="20"/>
              </w:rPr>
              <w:t>Click to make this view your default</w:t>
            </w:r>
          </w:p>
        </w:tc>
      </w:tr>
      <w:tr w:rsidR="00E71E41" w14:paraId="4B0DAB16" w14:textId="77777777">
        <w:tc>
          <w:tcPr>
            <w:tcW w:w="3213" w:type="dxa"/>
          </w:tcPr>
          <w:p w14:paraId="61146BF6" w14:textId="77777777" w:rsidR="00E71E41" w:rsidRDefault="00000000">
            <w:r>
              <w:rPr>
                <w:noProof/>
                <w:sz w:val="20"/>
              </w:rPr>
              <w:drawing>
                <wp:inline distT="0" distB="0" distL="0" distR="0" wp14:anchorId="10AD1DC9" wp14:editId="5C5C67B5">
                  <wp:extent cx="129988" cy="15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edit_pencil.png"/>
                          <pic:cNvPicPr/>
                        </pic:nvPicPr>
                        <pic:blipFill>
                          <a:blip r:embed="rId21"/>
                          <a:stretch>
                            <a:fillRect/>
                          </a:stretch>
                        </pic:blipFill>
                        <pic:spPr>
                          <a:xfrm>
                            <a:off x="0" y="0"/>
                            <a:ext cx="129988" cy="152400"/>
                          </a:xfrm>
                          <a:prstGeom prst="rect">
                            <a:avLst/>
                          </a:prstGeom>
                        </pic:spPr>
                      </pic:pic>
                    </a:graphicData>
                  </a:graphic>
                </wp:inline>
              </w:drawing>
            </w:r>
          </w:p>
        </w:tc>
        <w:tc>
          <w:tcPr>
            <w:tcW w:w="3213" w:type="dxa"/>
          </w:tcPr>
          <w:p w14:paraId="677E987D" w14:textId="77777777" w:rsidR="00E71E41" w:rsidRDefault="00000000">
            <w:r>
              <w:rPr>
                <w:sz w:val="20"/>
              </w:rPr>
              <w:t>View Manager</w:t>
            </w:r>
          </w:p>
        </w:tc>
        <w:tc>
          <w:tcPr>
            <w:tcW w:w="3213" w:type="dxa"/>
          </w:tcPr>
          <w:p w14:paraId="7EACED04" w14:textId="77777777" w:rsidR="00E71E41" w:rsidRDefault="00000000">
            <w:r>
              <w:rPr>
                <w:sz w:val="20"/>
              </w:rPr>
              <w:t>Edit view definition</w:t>
            </w:r>
          </w:p>
        </w:tc>
      </w:tr>
      <w:tr w:rsidR="00E71E41" w14:paraId="34EFC9A9" w14:textId="77777777">
        <w:tc>
          <w:tcPr>
            <w:tcW w:w="3213" w:type="dxa"/>
            <w:shd w:val="clear" w:color="auto" w:fill="F5F7FB"/>
          </w:tcPr>
          <w:p w14:paraId="666955C3" w14:textId="77777777" w:rsidR="00E71E41" w:rsidRDefault="00000000">
            <w:r>
              <w:rPr>
                <w:noProof/>
                <w:sz w:val="20"/>
              </w:rPr>
              <w:drawing>
                <wp:inline distT="0" distB="0" distL="0" distR="0" wp14:anchorId="600373BA" wp14:editId="7F7B92C3">
                  <wp:extent cx="129988" cy="152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lone.png"/>
                          <pic:cNvPicPr/>
                        </pic:nvPicPr>
                        <pic:blipFill>
                          <a:blip r:embed="rId22"/>
                          <a:stretch>
                            <a:fillRect/>
                          </a:stretch>
                        </pic:blipFill>
                        <pic:spPr>
                          <a:xfrm>
                            <a:off x="0" y="0"/>
                            <a:ext cx="129988" cy="152400"/>
                          </a:xfrm>
                          <a:prstGeom prst="rect">
                            <a:avLst/>
                          </a:prstGeom>
                        </pic:spPr>
                      </pic:pic>
                    </a:graphicData>
                  </a:graphic>
                </wp:inline>
              </w:drawing>
            </w:r>
          </w:p>
        </w:tc>
        <w:tc>
          <w:tcPr>
            <w:tcW w:w="3213" w:type="dxa"/>
            <w:shd w:val="clear" w:color="auto" w:fill="F5F7FB"/>
          </w:tcPr>
          <w:p w14:paraId="720C13D2" w14:textId="77777777" w:rsidR="00E71E41" w:rsidRDefault="00000000">
            <w:r>
              <w:rPr>
                <w:sz w:val="20"/>
              </w:rPr>
              <w:t>View Manager / Attributes</w:t>
            </w:r>
          </w:p>
        </w:tc>
        <w:tc>
          <w:tcPr>
            <w:tcW w:w="3213" w:type="dxa"/>
            <w:shd w:val="clear" w:color="auto" w:fill="F5F7FB"/>
          </w:tcPr>
          <w:p w14:paraId="54615467" w14:textId="77777777" w:rsidR="00E71E41" w:rsidRDefault="00000000">
            <w:r>
              <w:rPr>
                <w:sz w:val="20"/>
              </w:rPr>
              <w:t>Clone (view or project)</w:t>
            </w:r>
          </w:p>
        </w:tc>
      </w:tr>
      <w:tr w:rsidR="00E71E41" w14:paraId="0ECAEDBE" w14:textId="77777777">
        <w:tc>
          <w:tcPr>
            <w:tcW w:w="3213" w:type="dxa"/>
          </w:tcPr>
          <w:p w14:paraId="6E1834DB" w14:textId="77777777" w:rsidR="00E71E41" w:rsidRDefault="00000000">
            <w:r>
              <w:rPr>
                <w:noProof/>
                <w:sz w:val="20"/>
              </w:rPr>
              <w:drawing>
                <wp:inline distT="0" distB="0" distL="0" distR="0" wp14:anchorId="42BA4E22" wp14:editId="00543B9B">
                  <wp:extent cx="129988" cy="152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delete_trash.png"/>
                          <pic:cNvPicPr/>
                        </pic:nvPicPr>
                        <pic:blipFill>
                          <a:blip r:embed="rId23"/>
                          <a:stretch>
                            <a:fillRect/>
                          </a:stretch>
                        </pic:blipFill>
                        <pic:spPr>
                          <a:xfrm>
                            <a:off x="0" y="0"/>
                            <a:ext cx="129988" cy="152400"/>
                          </a:xfrm>
                          <a:prstGeom prst="rect">
                            <a:avLst/>
                          </a:prstGeom>
                        </pic:spPr>
                      </pic:pic>
                    </a:graphicData>
                  </a:graphic>
                </wp:inline>
              </w:drawing>
            </w:r>
          </w:p>
        </w:tc>
        <w:tc>
          <w:tcPr>
            <w:tcW w:w="3213" w:type="dxa"/>
          </w:tcPr>
          <w:p w14:paraId="31B094F2" w14:textId="77777777" w:rsidR="00E71E41" w:rsidRDefault="00000000">
            <w:r>
              <w:rPr>
                <w:sz w:val="20"/>
              </w:rPr>
              <w:t>View Manager</w:t>
            </w:r>
          </w:p>
        </w:tc>
        <w:tc>
          <w:tcPr>
            <w:tcW w:w="3213" w:type="dxa"/>
          </w:tcPr>
          <w:p w14:paraId="5E4EC43B" w14:textId="77777777" w:rsidR="00E71E41" w:rsidRDefault="00000000">
            <w:r>
              <w:rPr>
                <w:sz w:val="20"/>
              </w:rPr>
              <w:t>Delete the private view</w:t>
            </w:r>
          </w:p>
        </w:tc>
      </w:tr>
      <w:tr w:rsidR="00E71E41" w14:paraId="1EF7B78C" w14:textId="77777777">
        <w:tc>
          <w:tcPr>
            <w:tcW w:w="3213" w:type="dxa"/>
            <w:shd w:val="clear" w:color="auto" w:fill="F5F7FB"/>
          </w:tcPr>
          <w:p w14:paraId="1A0F517E" w14:textId="77777777" w:rsidR="00E71E41" w:rsidRDefault="00000000">
            <w:r>
              <w:rPr>
                <w:noProof/>
                <w:sz w:val="20"/>
              </w:rPr>
              <w:drawing>
                <wp:inline distT="0" distB="0" distL="0" distR="0" wp14:anchorId="3A7F6733" wp14:editId="44A6EAB7">
                  <wp:extent cx="152400" cy="152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ublic_eye.png"/>
                          <pic:cNvPicPr/>
                        </pic:nvPicPr>
                        <pic:blipFill>
                          <a:blip r:embed="rId24"/>
                          <a:stretch>
                            <a:fillRect/>
                          </a:stretch>
                        </pic:blipFill>
                        <pic:spPr>
                          <a:xfrm>
                            <a:off x="0" y="0"/>
                            <a:ext cx="152400" cy="152400"/>
                          </a:xfrm>
                          <a:prstGeom prst="rect">
                            <a:avLst/>
                          </a:prstGeom>
                        </pic:spPr>
                      </pic:pic>
                    </a:graphicData>
                  </a:graphic>
                </wp:inline>
              </w:drawing>
            </w:r>
          </w:p>
        </w:tc>
        <w:tc>
          <w:tcPr>
            <w:tcW w:w="3213" w:type="dxa"/>
            <w:shd w:val="clear" w:color="auto" w:fill="F5F7FB"/>
          </w:tcPr>
          <w:p w14:paraId="58B5FC7B" w14:textId="77777777" w:rsidR="00E71E41" w:rsidRDefault="00000000">
            <w:r>
              <w:rPr>
                <w:sz w:val="20"/>
              </w:rPr>
              <w:t>View Manager row footer</w:t>
            </w:r>
          </w:p>
        </w:tc>
        <w:tc>
          <w:tcPr>
            <w:tcW w:w="3213" w:type="dxa"/>
            <w:shd w:val="clear" w:color="auto" w:fill="F5F7FB"/>
          </w:tcPr>
          <w:p w14:paraId="58A3CCE1" w14:textId="77777777" w:rsidR="00E71E41" w:rsidRDefault="00000000">
            <w:r>
              <w:rPr>
                <w:sz w:val="20"/>
              </w:rPr>
              <w:t>Public view marker</w:t>
            </w:r>
          </w:p>
        </w:tc>
      </w:tr>
    </w:tbl>
    <w:p w14:paraId="2049273D" w14:textId="77777777" w:rsidR="00E71E41" w:rsidRDefault="00E71E41"/>
    <w:p w14:paraId="31731D89" w14:textId="77777777" w:rsidR="00E71E41" w:rsidRDefault="00000000">
      <w:pPr>
        <w:pStyle w:val="berschrift2"/>
      </w:pPr>
      <w:r>
        <w:t>Mini FAQ</w:t>
      </w:r>
    </w:p>
    <w:p w14:paraId="2840EA76" w14:textId="77777777" w:rsidR="00E71E41" w:rsidRDefault="00000000">
      <w:r>
        <w:rPr>
          <w:b/>
        </w:rPr>
        <w:t>My Save button is grey on Allocations / Financials.</w:t>
      </w:r>
      <w:r>
        <w:t xml:space="preserve">  You have not pressed </w:t>
      </w:r>
      <w:r>
        <w:rPr>
          <w:b/>
        </w:rPr>
        <w:t>Checkout</w:t>
      </w:r>
      <w:r>
        <w:t xml:space="preserve"> yet. The button is only active for the user who holds the lock — see chapter 7.</w:t>
      </w:r>
    </w:p>
    <w:p w14:paraId="5D6F749A" w14:textId="77777777" w:rsidR="00E71E41" w:rsidRDefault="00000000">
      <w:r>
        <w:rPr>
          <w:b/>
        </w:rPr>
        <w:t>Tempus says "Locked by …" on a project I want to edit.</w:t>
      </w:r>
      <w:r>
        <w:t xml:space="preserve">  Another user is currently checked out on Allocations or Financials of that project. Ask them to </w:t>
      </w:r>
      <w:r>
        <w:rPr>
          <w:b/>
        </w:rPr>
        <w:t>Release</w:t>
      </w:r>
      <w:r>
        <w:t>; in an emergency the PMO can force- release via an admin tool.</w:t>
      </w:r>
    </w:p>
    <w:p w14:paraId="17D91994" w14:textId="77777777" w:rsidR="00E71E41" w:rsidRDefault="00000000">
      <w:r>
        <w:rPr>
          <w:b/>
        </w:rPr>
        <w:t>I cannot see the BPA Flatgrid tile on my homescreen.</w:t>
      </w:r>
      <w:r>
        <w:t xml:space="preserve">  Correct — that tile belongs to Resource Managers, not PM/SMs. You provide demand by entering allocations on each project (chapter 5); the RM consumes it from the BPA Flatgrid.</w:t>
      </w:r>
    </w:p>
    <w:p w14:paraId="7EB7103D" w14:textId="77777777" w:rsidR="00E71E41" w:rsidRDefault="00000000">
      <w:r>
        <w:rPr>
          <w:b/>
        </w:rPr>
        <w:lastRenderedPageBreak/>
        <w:t>My project does not show up in the Portfolio Dashboard.</w:t>
      </w:r>
      <w:r>
        <w:t xml:space="preserve">  Check that </w:t>
      </w:r>
      <w:r>
        <w:rPr>
          <w:b/>
        </w:rPr>
        <w:t>Above Red Line</w:t>
      </w:r>
      <w:r>
        <w:t xml:space="preserve">, </w:t>
      </w:r>
      <w:r>
        <w:rPr>
          <w:b/>
        </w:rPr>
        <w:t>Portfolio Status</w:t>
      </w:r>
      <w:r>
        <w:t xml:space="preserve">, </w:t>
      </w:r>
      <w:r>
        <w:rPr>
          <w:b/>
        </w:rPr>
        <w:t>Division</w:t>
      </w:r>
      <w:r>
        <w:t xml:space="preserve"> and </w:t>
      </w:r>
      <w:r>
        <w:rPr>
          <w:b/>
        </w:rPr>
        <w:t>Business Portfolio</w:t>
      </w:r>
      <w:r>
        <w:t xml:space="preserve"> are set on the Attributes page. Reports filter on those four attributes by default.</w:t>
      </w:r>
    </w:p>
    <w:p w14:paraId="4FF6ED52" w14:textId="77777777" w:rsidR="00E71E41" w:rsidRDefault="00000000">
      <w:r>
        <w:rPr>
          <w:b/>
        </w:rPr>
        <w:t>Edits disappear after a page reload.</w:t>
      </w:r>
      <w:r>
        <w:t xml:space="preserve">  You forgot to </w:t>
      </w:r>
      <w:r>
        <w:rPr>
          <w:b/>
        </w:rPr>
        <w:t>Save</w:t>
      </w:r>
      <w:r>
        <w:t xml:space="preserve">. For Allocations / Financials, double-check that the </w:t>
      </w:r>
      <w:r>
        <w:rPr>
          <w:b/>
        </w:rPr>
        <w:t>Save</w:t>
      </w:r>
      <w:r>
        <w:t xml:space="preserve"> button turned green (= you held the lock) before you typed.</w:t>
      </w:r>
    </w:p>
    <w:p w14:paraId="4EFB31B0" w14:textId="77777777" w:rsidR="00E71E41" w:rsidRDefault="00000000">
      <w:r>
        <w:rPr>
          <w:b/>
        </w:rPr>
        <w:t>The Mandays / Cost numbers do not match my business case.</w:t>
      </w:r>
      <w:r>
        <w:t xml:space="preserve">  Open the project's Attributes and verify that the </w:t>
      </w:r>
      <w:r>
        <w:rPr>
          <w:b/>
        </w:rPr>
        <w:t>Project Charging Type</w:t>
      </w:r>
      <w:r>
        <w:t xml:space="preserve"> and </w:t>
      </w:r>
      <w:r>
        <w:rPr>
          <w:b/>
        </w:rPr>
        <w:t>Legal Entity</w:t>
      </w:r>
      <w:r>
        <w:t xml:space="preserve"> are correct — those drive the rate conversion that fills the Cost mode.</w:t>
      </w:r>
    </w:p>
    <w:p w14:paraId="15AE110B" w14:textId="77777777" w:rsidR="00E71E41" w:rsidRDefault="00000000">
      <w:r>
        <w:rPr>
          <w:b/>
        </w:rPr>
        <w:t>A field I need to change is greyed out.</w:t>
      </w:r>
      <w:r>
        <w:t xml:space="preserve">  The field is owned by the PMO. Reach out to the PMO inbox; do not work around it through a different field.</w:t>
      </w:r>
    </w:p>
    <w:p w14:paraId="51D0A03F" w14:textId="77777777" w:rsidR="00E71E41" w:rsidRDefault="00000000">
      <w:r>
        <w:rPr>
          <w:b/>
        </w:rPr>
        <w:t>I want to clone a Knauf-standard public view.</w:t>
      </w:r>
      <w:r>
        <w:t xml:space="preserve">  Open the View Manager, click </w:t>
      </w:r>
      <w:r>
        <w:rPr>
          <w:noProof/>
        </w:rPr>
        <w:drawing>
          <wp:inline distT="0" distB="0" distL="0" distR="0" wp14:anchorId="528758E1" wp14:editId="2D6986E2">
            <wp:extent cx="129988" cy="152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lone.png"/>
                    <pic:cNvPicPr/>
                  </pic:nvPicPr>
                  <pic:blipFill>
                    <a:blip r:embed="rId22"/>
                    <a:stretch>
                      <a:fillRect/>
                    </a:stretch>
                  </pic:blipFill>
                  <pic:spPr>
                    <a:xfrm>
                      <a:off x="0" y="0"/>
                      <a:ext cx="129988" cy="152400"/>
                    </a:xfrm>
                    <a:prstGeom prst="rect">
                      <a:avLst/>
                    </a:prstGeom>
                  </pic:spPr>
                </pic:pic>
              </a:graphicData>
            </a:graphic>
          </wp:inline>
        </w:drawing>
      </w:r>
      <w:r>
        <w:t xml:space="preserve"> on the row of the public view, then edit the copy. You cannot save changes back into a public view directly.</w:t>
      </w:r>
    </w:p>
    <w:p w14:paraId="4BA07524" w14:textId="77777777" w:rsidR="00E71E41" w:rsidRDefault="00000000">
      <w:pPr>
        <w:pStyle w:val="berschrift2"/>
      </w:pPr>
      <w:r>
        <w:t>Where to go from here</w:t>
      </w:r>
    </w:p>
    <w:p w14:paraId="65BAC144" w14:textId="77777777" w:rsidR="00E71E41" w:rsidRDefault="00000000">
      <w:r>
        <w:t>Once you are comfortable with the eight chapters above, the ProSymmetry Help Center (</w:t>
      </w:r>
      <w:r>
        <w:rPr>
          <w:noProof/>
        </w:rPr>
        <w:drawing>
          <wp:inline distT="0" distB="0" distL="0" distR="0" wp14:anchorId="44684918" wp14:editId="6FC8F203">
            <wp:extent cx="147320" cy="152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help.png"/>
                    <pic:cNvPicPr/>
                  </pic:nvPicPr>
                  <pic:blipFill>
                    <a:blip r:embed="rId12"/>
                    <a:stretch>
                      <a:fillRect/>
                    </a:stretch>
                  </pic:blipFill>
                  <pic:spPr>
                    <a:xfrm>
                      <a:off x="0" y="0"/>
                      <a:ext cx="147320" cy="152400"/>
                    </a:xfrm>
                    <a:prstGeom prst="rect">
                      <a:avLst/>
                    </a:prstGeom>
                  </pic:spPr>
                </pic:pic>
              </a:graphicData>
            </a:graphic>
          </wp:inline>
        </w:drawing>
      </w:r>
      <w:r>
        <w:t xml:space="preserve"> in the top bar) is the right next stop for any topic that is not Knauf-specific — keyboard shortcuts, advanced filter syntax, history of cell edits. For Knauf process questions (when to advance Portfolio Status, what to write in External Project Number, how often to re-plan), the PMO team is the right contact.</w:t>
      </w:r>
    </w:p>
    <w:sectPr w:rsidR="00E71E41" w:rsidSect="00034616">
      <w:footerReference w:type="default" r:id="rId3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1C51C" w14:textId="77777777" w:rsidR="004D70B1" w:rsidRDefault="004D70B1">
      <w:pPr>
        <w:spacing w:after="0" w:line="240" w:lineRule="auto"/>
      </w:pPr>
      <w:r>
        <w:separator/>
      </w:r>
    </w:p>
  </w:endnote>
  <w:endnote w:type="continuationSeparator" w:id="0">
    <w:p w14:paraId="4F6D7984" w14:textId="77777777" w:rsidR="004D70B1" w:rsidRDefault="004D7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D708" w14:textId="77777777" w:rsidR="00E71E41" w:rsidRDefault="00000000">
    <w:pPr>
      <w:pStyle w:val="Fuzeile"/>
      <w:jc w:val="center"/>
    </w:pPr>
    <w:proofErr w:type="spellStart"/>
    <w:r>
      <w:rPr>
        <w:sz w:val="16"/>
      </w:rPr>
      <w:t>Valkeen</w:t>
    </w:r>
    <w:proofErr w:type="spellEnd"/>
    <w:r>
      <w:rPr>
        <w:sz w:val="16"/>
      </w:rPr>
      <w:t xml:space="preserve"> GmbH ∙ Bahnhofstrasse 64 ∙ 8001 Zurich, Switzerland</w:t>
    </w:r>
  </w:p>
  <w:p w14:paraId="45CF468A" w14:textId="77777777" w:rsidR="00E71E41" w:rsidRDefault="00000000">
    <w:pPr>
      <w:jc w:val="center"/>
    </w:pPr>
    <w:r>
      <w:rPr>
        <w:sz w:val="16"/>
      </w:rPr>
      <w:t xml:space="preserve">www.valkeen.com ∙ © 2026 </w:t>
    </w:r>
    <w:proofErr w:type="spellStart"/>
    <w:r>
      <w:rPr>
        <w:sz w:val="16"/>
      </w:rPr>
      <w:t>Valkeen</w:t>
    </w:r>
    <w:proofErr w:type="spellEnd"/>
    <w:r>
      <w:rPr>
        <w:sz w:val="16"/>
      </w:rPr>
      <w:t xml:space="preserve"> GmbH. All rights reserved.</w:t>
    </w:r>
  </w:p>
  <w:p w14:paraId="3BD206E8" w14:textId="77777777" w:rsidR="00E71E41" w:rsidRDefault="00000000">
    <w:pPr>
      <w:jc w:val="center"/>
    </w:pPr>
    <w:r>
      <w:rPr>
        <w:sz w:val="16"/>
      </w:rPr>
      <w:t xml:space="preserve">Page </w:t>
    </w:r>
    <w:r>
      <w:fldChar w:fldCharType="begin"/>
    </w:r>
    <w:r>
      <w:instrText>PAGE</w:instrText>
    </w:r>
    <w:r w:rsidR="0045773F">
      <w:fldChar w:fldCharType="separate"/>
    </w:r>
    <w:r w:rsidR="004577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DCF54" w14:textId="77777777" w:rsidR="004D70B1" w:rsidRDefault="004D70B1">
      <w:pPr>
        <w:spacing w:after="0" w:line="240" w:lineRule="auto"/>
      </w:pPr>
      <w:r>
        <w:separator/>
      </w:r>
    </w:p>
  </w:footnote>
  <w:footnote w:type="continuationSeparator" w:id="0">
    <w:p w14:paraId="1C61D415" w14:textId="77777777" w:rsidR="004D70B1" w:rsidRDefault="004D7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30580862">
    <w:abstractNumId w:val="8"/>
  </w:num>
  <w:num w:numId="2" w16cid:durableId="659968011">
    <w:abstractNumId w:val="6"/>
  </w:num>
  <w:num w:numId="3" w16cid:durableId="2071690678">
    <w:abstractNumId w:val="5"/>
  </w:num>
  <w:num w:numId="4" w16cid:durableId="1781801476">
    <w:abstractNumId w:val="4"/>
  </w:num>
  <w:num w:numId="5" w16cid:durableId="411127212">
    <w:abstractNumId w:val="7"/>
  </w:num>
  <w:num w:numId="6" w16cid:durableId="1899511962">
    <w:abstractNumId w:val="3"/>
  </w:num>
  <w:num w:numId="7" w16cid:durableId="926378436">
    <w:abstractNumId w:val="2"/>
  </w:num>
  <w:num w:numId="8" w16cid:durableId="2105681180">
    <w:abstractNumId w:val="1"/>
  </w:num>
  <w:num w:numId="9" w16cid:durableId="132535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533"/>
    <w:rsid w:val="0006063C"/>
    <w:rsid w:val="0015074B"/>
    <w:rsid w:val="0029639D"/>
    <w:rsid w:val="00326F90"/>
    <w:rsid w:val="0045773F"/>
    <w:rsid w:val="004D70B1"/>
    <w:rsid w:val="00642758"/>
    <w:rsid w:val="00AA1D8D"/>
    <w:rsid w:val="00B47730"/>
    <w:rsid w:val="00CB0664"/>
    <w:rsid w:val="00E71E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36F60"/>
  <w14:defaultImageDpi w14:val="300"/>
  <w15:docId w15:val="{AE923778-DD95-0945-81EF-FBAB19DA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color w:val="3A3A3A"/>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0B3D91"/>
      <w:sz w:val="4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0B3D91"/>
      <w:sz w:val="32"/>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0B3D91"/>
      <w:sz w:val="26"/>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4088</Words>
  <Characters>25759</Characters>
  <Application>Microsoft Office Word</Application>
  <DocSecurity>0</DocSecurity>
  <Lines>214</Lines>
  <Paragraphs>59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Weiss</cp:lastModifiedBy>
  <cp:revision>2</cp:revision>
  <dcterms:created xsi:type="dcterms:W3CDTF">2013-12-23T23:15:00Z</dcterms:created>
  <dcterms:modified xsi:type="dcterms:W3CDTF">2026-05-11T22:57:00Z</dcterms:modified>
  <cp:category/>
</cp:coreProperties>
</file>