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Tempus Resource</w:t>
      </w:r>
    </w:p>
    <w:p>
      <w:pPr>
        <w:pStyle w:val="Heading2"/>
      </w:pPr>
      <w:r>
        <w:t>Quick Reference Guide</w:t>
      </w:r>
    </w:p>
    <w:p>
      <w:pPr>
        <w:pStyle w:val="Heading3"/>
      </w:pPr>
      <w:r>
        <w:t>Planners – Project / Service Manager and Resource Manager</w:t>
      </w:r>
    </w:p>
    <w:p>
      <w:r>
        <w:t>Phase 1 (Budget) - Knauf Configuration</w:t>
      </w:r>
    </w:p>
    <w:tbl>
      <w:tblPr>
        <w:tblW w:type="auto" w:w="0"/>
        <w:tblLook w:firstColumn="1" w:firstRow="1" w:lastColumn="0" w:lastRow="0" w:noHBand="0" w:noVBand="1" w:val="04A0"/>
      </w:tblPr>
      <w:tblGrid>
        <w:gridCol w:w="9972"/>
      </w:tblGrid>
      <w:tr>
        <w:tc>
          <w:tcPr>
            <w:tcW w:type="dxa" w:w="9972"/>
            <w:shd w:val="clear" w:color="auto" w:fill="EAF1FB"/>
          </w:tcPr>
          <w:p>
            <w:r>
              <w:rPr>
                <w:b/>
                <w:color w:val="0B3D91"/>
              </w:rPr>
              <w:t xml:space="preserve">Note: </w:t>
            </w:r>
            <w:r>
              <w:t>This document is confidential and intended for Knauf only. It is a quick reference, not a full training manual. Do not distribute, copy, forward, or disclose without the express consent of Valkeen GmbH.</w:t>
            </w:r>
          </w:p>
        </w:tc>
      </w:tr>
    </w:tbl>
    <w:p/>
    <w:p>
      <w:r>
        <w:br w:type="page"/>
      </w:r>
    </w:p>
    <w:p>
      <w:pPr>
        <w:pStyle w:val="Heading1"/>
      </w:pPr>
      <w:r>
        <w:t>Contents</w:t>
      </w:r>
    </w:p>
    <w:p>
      <w:r>
        <w:t>This guide has two tables of contents:</w:t>
      </w:r>
    </w:p>
    <w:p>
      <w:pPr>
        <w:pStyle w:val="ListNumber"/>
      </w:pPr>
      <w:r>
        <w:t>A static overview below for a one-glance map of all sections.</w:t>
      </w:r>
    </w:p>
    <w:p>
      <w:pPr>
        <w:pStyle w:val="ListNumber"/>
      </w:pPr>
      <w:r>
        <w:t xml:space="preserve">A live Word table of contents on the next page with clickable links and page numbers. Right-click it in Word and choose </w:t>
      </w:r>
      <w:r>
        <w:rPr>
          <w:b/>
        </w:rPr>
        <w:t>Update Field</w:t>
      </w:r>
      <w:r>
        <w:t xml:space="preserve"> (or press </w:t>
      </w:r>
      <w:r>
        <w:rPr>
          <w:rFonts w:ascii="Consolas" w:hAnsi="Consolas"/>
          <w:sz w:val="20"/>
        </w:rPr>
        <w:t>F9</w:t>
      </w:r>
      <w:r>
        <w:t>) the first time you open the document.</w:t>
      </w:r>
    </w:p>
    <w:p>
      <w:pPr>
        <w:pStyle w:val="Heading2"/>
      </w:pPr>
      <w:r>
        <w:t>Static Section Map</w:t>
      </w:r>
    </w:p>
    <w:tbl>
      <w:tblPr>
        <w:tblW w:type="auto" w:w="0"/>
        <w:tblLayout w:type="autofit"/>
        <w:tblLook w:firstColumn="1" w:firstRow="1" w:lastColumn="0" w:lastRow="0" w:noHBand="0" w:noVBand="1" w:val="04A0"/>
      </w:tblPr>
      <w:tblGrid>
        <w:gridCol w:w="3324"/>
        <w:gridCol w:w="3324"/>
        <w:gridCol w:w="3324"/>
      </w:tblGrid>
      <w:tr>
        <w:tc>
          <w:tcPr>
            <w:tcW w:type="dxa" w:w="3213"/>
            <w:shd w:val="clear" w:color="auto" w:fill="0B3D91"/>
          </w:tcPr>
          <w:p>
            <w:r>
              <w:rPr>
                <w:b/>
                <w:color w:val="FFFFFF"/>
                <w:sz w:val="20"/>
              </w:rPr>
              <w:t>#</w:t>
            </w:r>
          </w:p>
        </w:tc>
        <w:tc>
          <w:tcPr>
            <w:tcW w:type="dxa" w:w="3213"/>
            <w:shd w:val="clear" w:color="auto" w:fill="0B3D91"/>
          </w:tcPr>
          <w:p>
            <w:r>
              <w:rPr>
                <w:b/>
                <w:color w:val="FFFFFF"/>
                <w:sz w:val="20"/>
              </w:rPr>
              <w:t>Section</w:t>
            </w:r>
          </w:p>
        </w:tc>
        <w:tc>
          <w:tcPr>
            <w:tcW w:type="dxa" w:w="3213"/>
            <w:shd w:val="clear" w:color="auto" w:fill="0B3D91"/>
          </w:tcPr>
          <w:p>
            <w:r>
              <w:rPr>
                <w:b/>
                <w:color w:val="FFFFFF"/>
                <w:sz w:val="20"/>
              </w:rPr>
              <w:t>For</w:t>
            </w:r>
          </w:p>
        </w:tc>
      </w:tr>
      <w:tr>
        <w:tc>
          <w:tcPr>
            <w:tcW w:type="dxa" w:w="3213"/>
          </w:tcPr>
          <w:p>
            <w:r>
              <w:rPr>
                <w:sz w:val="20"/>
              </w:rPr>
              <w:t>1</w:t>
            </w:r>
          </w:p>
        </w:tc>
        <w:tc>
          <w:tcPr>
            <w:tcW w:type="dxa" w:w="3213"/>
          </w:tcPr>
          <w:p>
            <w:r>
              <w:rPr>
                <w:sz w:val="20"/>
              </w:rPr>
              <w:t>Glossary &amp; Quick Lookup</w:t>
            </w:r>
          </w:p>
        </w:tc>
        <w:tc>
          <w:tcPr>
            <w:tcW w:type="dxa" w:w="3213"/>
          </w:tcPr>
          <w:p>
            <w:r>
              <w:rPr>
                <w:sz w:val="20"/>
              </w:rPr>
              <w:t>Both</w:t>
            </w:r>
          </w:p>
        </w:tc>
      </w:tr>
      <w:tr>
        <w:tc>
          <w:tcPr>
            <w:tcW w:type="dxa" w:w="3213"/>
            <w:shd w:val="clear" w:color="auto" w:fill="F5F7FB"/>
          </w:tcPr>
          <w:p>
            <w:r>
              <w:rPr>
                <w:sz w:val="20"/>
              </w:rPr>
              <w:t>2</w:t>
            </w:r>
          </w:p>
        </w:tc>
        <w:tc>
          <w:tcPr>
            <w:tcW w:type="dxa" w:w="3213"/>
            <w:shd w:val="clear" w:color="auto" w:fill="F5F7FB"/>
          </w:tcPr>
          <w:p>
            <w:r>
              <w:rPr>
                <w:sz w:val="20"/>
              </w:rPr>
              <w:t>Sign-in and Homescreen</w:t>
            </w:r>
          </w:p>
        </w:tc>
        <w:tc>
          <w:tcPr>
            <w:tcW w:type="dxa" w:w="3213"/>
            <w:shd w:val="clear" w:color="auto" w:fill="F5F7FB"/>
          </w:tcPr>
          <w:p>
            <w:r>
              <w:rPr>
                <w:sz w:val="20"/>
              </w:rPr>
              <w:t>Both</w:t>
            </w:r>
          </w:p>
        </w:tc>
      </w:tr>
      <w:tr>
        <w:tc>
          <w:tcPr>
            <w:tcW w:type="dxa" w:w="3213"/>
          </w:tcPr>
          <w:p>
            <w:r>
              <w:rPr>
                <w:sz w:val="20"/>
              </w:rPr>
              <w:t>3</w:t>
            </w:r>
          </w:p>
        </w:tc>
        <w:tc>
          <w:tcPr>
            <w:tcW w:type="dxa" w:w="3213"/>
          </w:tcPr>
          <w:p>
            <w:r>
              <w:rPr>
                <w:sz w:val="20"/>
              </w:rPr>
              <w:t>Find and Open a Project</w:t>
            </w:r>
          </w:p>
        </w:tc>
        <w:tc>
          <w:tcPr>
            <w:tcW w:type="dxa" w:w="3213"/>
          </w:tcPr>
          <w:p>
            <w:r>
              <w:rPr>
                <w:sz w:val="20"/>
              </w:rPr>
              <w:t>Both</w:t>
            </w:r>
          </w:p>
        </w:tc>
      </w:tr>
      <w:tr>
        <w:tc>
          <w:tcPr>
            <w:tcW w:type="dxa" w:w="3213"/>
            <w:shd w:val="clear" w:color="auto" w:fill="F5F7FB"/>
          </w:tcPr>
          <w:p>
            <w:r>
              <w:rPr>
                <w:sz w:val="20"/>
              </w:rPr>
              <w:t>4</w:t>
            </w:r>
          </w:p>
        </w:tc>
        <w:tc>
          <w:tcPr>
            <w:tcW w:type="dxa" w:w="3213"/>
            <w:shd w:val="clear" w:color="auto" w:fill="F5F7FB"/>
          </w:tcPr>
          <w:p>
            <w:r>
              <w:rPr>
                <w:sz w:val="20"/>
              </w:rPr>
              <w:t>Create a Project</w:t>
            </w:r>
          </w:p>
        </w:tc>
        <w:tc>
          <w:tcPr>
            <w:tcW w:type="dxa" w:w="3213"/>
            <w:shd w:val="clear" w:color="auto" w:fill="F5F7FB"/>
          </w:tcPr>
          <w:p>
            <w:r>
              <w:rPr>
                <w:sz w:val="20"/>
              </w:rPr>
              <w:t>PM/SM</w:t>
            </w:r>
          </w:p>
        </w:tc>
      </w:tr>
      <w:tr>
        <w:tc>
          <w:tcPr>
            <w:tcW w:type="dxa" w:w="3213"/>
          </w:tcPr>
          <w:p>
            <w:r>
              <w:rPr>
                <w:sz w:val="20"/>
              </w:rPr>
              <w:t>5</w:t>
            </w:r>
          </w:p>
        </w:tc>
        <w:tc>
          <w:tcPr>
            <w:tcW w:type="dxa" w:w="3213"/>
          </w:tcPr>
          <w:p>
            <w:r>
              <w:rPr>
                <w:sz w:val="20"/>
              </w:rPr>
              <w:t>Project Master Data (Attributes)</w:t>
            </w:r>
          </w:p>
        </w:tc>
        <w:tc>
          <w:tcPr>
            <w:tcW w:type="dxa" w:w="3213"/>
          </w:tcPr>
          <w:p>
            <w:r>
              <w:rPr>
                <w:sz w:val="20"/>
              </w:rPr>
              <w:t>PM/SM</w:t>
            </w:r>
          </w:p>
        </w:tc>
      </w:tr>
      <w:tr>
        <w:tc>
          <w:tcPr>
            <w:tcW w:type="dxa" w:w="3213"/>
            <w:shd w:val="clear" w:color="auto" w:fill="F5F7FB"/>
          </w:tcPr>
          <w:p>
            <w:r>
              <w:rPr>
                <w:sz w:val="20"/>
              </w:rPr>
              <w:t>6</w:t>
            </w:r>
          </w:p>
        </w:tc>
        <w:tc>
          <w:tcPr>
            <w:tcW w:type="dxa" w:w="3213"/>
            <w:shd w:val="clear" w:color="auto" w:fill="F5F7FB"/>
          </w:tcPr>
          <w:p>
            <w:r>
              <w:rPr>
                <w:sz w:val="20"/>
              </w:rPr>
              <w:t>Project vs. Service</w:t>
            </w:r>
          </w:p>
        </w:tc>
        <w:tc>
          <w:tcPr>
            <w:tcW w:type="dxa" w:w="3213"/>
            <w:shd w:val="clear" w:color="auto" w:fill="F5F7FB"/>
          </w:tcPr>
          <w:p>
            <w:r>
              <w:rPr>
                <w:sz w:val="20"/>
              </w:rPr>
              <w:t>PM/SM</w:t>
            </w:r>
          </w:p>
        </w:tc>
      </w:tr>
      <w:tr>
        <w:tc>
          <w:tcPr>
            <w:tcW w:type="dxa" w:w="3213"/>
          </w:tcPr>
          <w:p>
            <w:r>
              <w:rPr>
                <w:sz w:val="20"/>
              </w:rPr>
              <w:t>7</w:t>
            </w:r>
          </w:p>
        </w:tc>
        <w:tc>
          <w:tcPr>
            <w:tcW w:type="dxa" w:w="3213"/>
          </w:tcPr>
          <w:p>
            <w:r>
              <w:rPr>
                <w:sz w:val="20"/>
              </w:rPr>
              <w:t>Plan Resources (Allocations)</w:t>
            </w:r>
          </w:p>
        </w:tc>
        <w:tc>
          <w:tcPr>
            <w:tcW w:type="dxa" w:w="3213"/>
          </w:tcPr>
          <w:p>
            <w:r>
              <w:rPr>
                <w:sz w:val="20"/>
              </w:rPr>
              <w:t>Both</w:t>
            </w:r>
          </w:p>
        </w:tc>
      </w:tr>
      <w:tr>
        <w:tc>
          <w:tcPr>
            <w:tcW w:type="dxa" w:w="3213"/>
            <w:shd w:val="clear" w:color="auto" w:fill="F5F7FB"/>
          </w:tcPr>
          <w:p>
            <w:r>
              <w:rPr>
                <w:sz w:val="20"/>
              </w:rPr>
              <w:t>8</w:t>
            </w:r>
          </w:p>
        </w:tc>
        <w:tc>
          <w:tcPr>
            <w:tcW w:type="dxa" w:w="3213"/>
            <w:shd w:val="clear" w:color="auto" w:fill="F5F7FB"/>
          </w:tcPr>
          <w:p>
            <w:r>
              <w:rPr>
                <w:sz w:val="20"/>
              </w:rPr>
              <w:t>Plan Costs (Allocations € and Financials)</w:t>
            </w:r>
          </w:p>
        </w:tc>
        <w:tc>
          <w:tcPr>
            <w:tcW w:type="dxa" w:w="3213"/>
            <w:shd w:val="clear" w:color="auto" w:fill="F5F7FB"/>
          </w:tcPr>
          <w:p>
            <w:r>
              <w:rPr>
                <w:sz w:val="20"/>
              </w:rPr>
              <w:t>PM/SM</w:t>
            </w:r>
          </w:p>
        </w:tc>
      </w:tr>
      <w:tr>
        <w:tc>
          <w:tcPr>
            <w:tcW w:type="dxa" w:w="3213"/>
          </w:tcPr>
          <w:p>
            <w:r>
              <w:rPr>
                <w:sz w:val="20"/>
              </w:rPr>
              <w:t>9</w:t>
            </w:r>
          </w:p>
        </w:tc>
        <w:tc>
          <w:tcPr>
            <w:tcW w:type="dxa" w:w="3213"/>
          </w:tcPr>
          <w:p>
            <w:r>
              <w:rPr>
                <w:sz w:val="20"/>
              </w:rPr>
              <w:t>Bulk Project Allocation Flatgrid</w:t>
            </w:r>
          </w:p>
        </w:tc>
        <w:tc>
          <w:tcPr>
            <w:tcW w:type="dxa" w:w="3213"/>
          </w:tcPr>
          <w:p>
            <w:r>
              <w:rPr>
                <w:sz w:val="20"/>
              </w:rPr>
              <w:t>RM</w:t>
            </w:r>
          </w:p>
        </w:tc>
      </w:tr>
      <w:tr>
        <w:tc>
          <w:tcPr>
            <w:tcW w:type="dxa" w:w="3213"/>
            <w:shd w:val="clear" w:color="auto" w:fill="F5F7FB"/>
          </w:tcPr>
          <w:p>
            <w:r>
              <w:rPr>
                <w:sz w:val="20"/>
              </w:rPr>
              <w:t>10</w:t>
            </w:r>
          </w:p>
        </w:tc>
        <w:tc>
          <w:tcPr>
            <w:tcW w:type="dxa" w:w="3213"/>
            <w:shd w:val="clear" w:color="auto" w:fill="F5F7FB"/>
          </w:tcPr>
          <w:p>
            <w:r>
              <w:rPr>
                <w:sz w:val="20"/>
              </w:rPr>
              <w:t>Reporting Basics</w:t>
            </w:r>
          </w:p>
        </w:tc>
        <w:tc>
          <w:tcPr>
            <w:tcW w:type="dxa" w:w="3213"/>
            <w:shd w:val="clear" w:color="auto" w:fill="F5F7FB"/>
          </w:tcPr>
          <w:p>
            <w:r>
              <w:rPr>
                <w:sz w:val="20"/>
              </w:rPr>
              <w:t>Both</w:t>
            </w:r>
          </w:p>
        </w:tc>
      </w:tr>
      <w:tr>
        <w:tc>
          <w:tcPr>
            <w:tcW w:type="dxa" w:w="3213"/>
          </w:tcPr>
          <w:p>
            <w:r>
              <w:rPr>
                <w:sz w:val="20"/>
              </w:rPr>
              <w:t>11</w:t>
            </w:r>
          </w:p>
        </w:tc>
        <w:tc>
          <w:tcPr>
            <w:tcW w:type="dxa" w:w="3213"/>
          </w:tcPr>
          <w:p>
            <w:r>
              <w:rPr>
                <w:sz w:val="20"/>
              </w:rPr>
              <w:t>Workflows, Locks, and Saving</w:t>
            </w:r>
          </w:p>
        </w:tc>
        <w:tc>
          <w:tcPr>
            <w:tcW w:type="dxa" w:w="3213"/>
          </w:tcPr>
          <w:p>
            <w:r>
              <w:rPr>
                <w:sz w:val="20"/>
              </w:rPr>
              <w:t>Both</w:t>
            </w:r>
          </w:p>
        </w:tc>
      </w:tr>
      <w:tr>
        <w:tc>
          <w:tcPr>
            <w:tcW w:type="dxa" w:w="3213"/>
            <w:shd w:val="clear" w:color="auto" w:fill="F5F7FB"/>
          </w:tcPr>
          <w:p>
            <w:r>
              <w:rPr>
                <w:sz w:val="20"/>
              </w:rPr>
              <w:t>12</w:t>
            </w:r>
          </w:p>
        </w:tc>
        <w:tc>
          <w:tcPr>
            <w:tcW w:type="dxa" w:w="3213"/>
            <w:shd w:val="clear" w:color="auto" w:fill="F5F7FB"/>
          </w:tcPr>
          <w:p>
            <w:r>
              <w:rPr>
                <w:sz w:val="20"/>
              </w:rPr>
              <w:t>FAQ and Troubleshooting</w:t>
            </w:r>
          </w:p>
        </w:tc>
        <w:tc>
          <w:tcPr>
            <w:tcW w:type="dxa" w:w="3213"/>
            <w:shd w:val="clear" w:color="auto" w:fill="F5F7FB"/>
          </w:tcPr>
          <w:p>
            <w:r>
              <w:rPr>
                <w:sz w:val="20"/>
              </w:rPr>
              <w:t>Both</w:t>
            </w:r>
          </w:p>
        </w:tc>
      </w:tr>
    </w:tbl>
    <w:p/>
    <w:p>
      <w:pPr>
        <w:pStyle w:val="Heading2"/>
      </w:pPr>
      <w:r>
        <w:t>Live Table of Contents</w:t>
      </w:r>
    </w:p>
    <w:p>
      <w:r>
        <w:fldChar w:fldCharType="begin"/>
        <w:instrText xml:space="preserve">TOC \o "1-2" \h \z \u</w:instrText>
        <w:fldChar w:fldCharType="separate"/>
        <w:r>
          <w:t>Right-click here and choose 'Update Field' (or press F9) to build the table of contents.</w:t>
        </w:r>
        <w:fldChar w:fldCharType="end"/>
      </w:r>
    </w:p>
    <w:p>
      <w:pPr>
        <w:pStyle w:val="Heading1"/>
      </w:pPr>
      <w:r>
        <w:t>Glossary &amp; Quick Lookup</w:t>
      </w:r>
    </w:p>
    <w:tbl>
      <w:tblPr>
        <w:tblW w:type="auto" w:w="0"/>
        <w:tblLayout w:type="autofit"/>
        <w:tblLook w:firstColumn="1" w:firstRow="1" w:lastColumn="0" w:lastRow="0" w:noHBand="0" w:noVBand="1" w:val="04A0"/>
      </w:tblPr>
      <w:tblGrid>
        <w:gridCol w:w="9972"/>
      </w:tblGrid>
      <w:tr>
        <w:tc>
          <w:tcPr>
            <w:tcW w:type="dxa" w:w="1474"/>
            <w:shd w:val="clear" w:color="auto" w:fill="5B2A86"/>
          </w:tcPr>
          <w:p>
            <w:pPr>
              <w:jc w:val="center"/>
            </w:pPr>
            <w:r>
              <w:rPr>
                <w:b/>
                <w:color w:val="FFFFFF"/>
                <w:sz w:val="18"/>
              </w:rPr>
              <w:t>Both</w:t>
            </w:r>
          </w:p>
        </w:tc>
      </w:tr>
    </w:tbl>
    <w:p/>
    <w:p>
      <w:r>
        <w:t xml:space="preserve">Dense reference — deep product narration stays in the </w:t>
      </w:r>
      <w:r>
        <w:rPr>
          <w:color w:val="0B3D91"/>
        </w:rPr>
        <w:t>ProSymmetry Help Center</w:t>
      </w:r>
      <w:r>
        <w:t>.</w:t>
      </w:r>
    </w:p>
    <w:p>
      <w:r>
        <w:t xml:space="preserve">Tempus distinguishes </w:t>
      </w:r>
      <w:r>
        <w:rPr>
          <w:b/>
        </w:rPr>
        <w:t>Projects</w:t>
      </w:r>
      <w:r>
        <w:t xml:space="preserve"> versus </w:t>
      </w:r>
      <w:r>
        <w:rPr>
          <w:b/>
        </w:rPr>
        <w:t>Services</w:t>
      </w:r>
      <w:r>
        <w:t xml:space="preserve"> using the </w:t>
      </w:r>
      <w:r>
        <w:rPr>
          <w:b/>
        </w:rPr>
        <w:t>Type</w:t>
      </w:r>
      <w:r>
        <w:t xml:space="preserve"> attribute — it drives templates, roll-ups and reporting facets. Operational planning revolves around </w:t>
      </w:r>
      <w:r>
        <w:rPr>
          <w:b/>
        </w:rPr>
        <w:t>Mandays</w:t>
      </w:r>
      <w:r>
        <w:t xml:space="preserve">, with auxiliary </w:t>
      </w:r>
      <w:r>
        <w:rPr>
          <w:b/>
        </w:rPr>
        <w:t>Euro</w:t>
      </w:r>
      <w:r>
        <w:t xml:space="preserve"> projections from the allocations grid (</w:t>
      </w:r>
      <w:r>
        <w:rPr>
          <w:b/>
        </w:rPr>
        <w:t>€ Cost</w:t>
      </w:r>
      <w:r>
        <w:t xml:space="preserve">) and non-labor lines in </w:t>
      </w:r>
      <w:r>
        <w:rPr>
          <w:b/>
        </w:rPr>
        <w:t>Financials</w:t>
      </w:r>
      <w:r>
        <w:t xml:space="preserve">. Phase </w:t>
      </w:r>
      <w:r>
        <w:rPr>
          <w:b/>
        </w:rPr>
        <w:t>1 @ Knauf = Budget footprint</w:t>
      </w:r>
      <w:r>
        <w:t xml:space="preserve"> — SAP actuals ingestion, forecasting cycles beyond budget and services-side resource granularity sit in Phase 2+. Every allocation edit generates </w:t>
      </w:r>
      <w:r>
        <w:rPr>
          <w:b/>
        </w:rPr>
        <w:t>resource requests</w:t>
      </w:r>
      <w:r>
        <w:t xml:space="preserve"> for RM disposition.</w:t>
      </w:r>
    </w:p>
    <w:p>
      <w:pPr>
        <w:pStyle w:val="Heading2"/>
      </w:pPr>
      <w:r>
        <w:t>Roles surfaced here</w:t>
      </w:r>
    </w:p>
    <w:tbl>
      <w:tblPr>
        <w:tblW w:type="auto" w:w="0"/>
        <w:tblLayout w:type="autofit"/>
        <w:tblLook w:firstColumn="1" w:firstRow="1" w:lastColumn="0" w:lastRow="0" w:noHBand="0" w:noVBand="1" w:val="04A0"/>
      </w:tblPr>
      <w:tblGrid>
        <w:gridCol w:w="3324"/>
        <w:gridCol w:w="3324"/>
        <w:gridCol w:w="3324"/>
      </w:tblGrid>
      <w:tr>
        <w:tc>
          <w:tcPr>
            <w:tcW w:type="dxa" w:w="3213"/>
            <w:shd w:val="clear" w:color="auto" w:fill="0B3D91"/>
          </w:tcPr>
          <w:p>
            <w:r>
              <w:rPr>
                <w:b/>
                <w:color w:val="FFFFFF"/>
                <w:sz w:val="20"/>
              </w:rPr>
              <w:t>Badge</w:t>
            </w:r>
          </w:p>
        </w:tc>
        <w:tc>
          <w:tcPr>
            <w:tcW w:type="dxa" w:w="3213"/>
            <w:shd w:val="clear" w:color="auto" w:fill="0B3D91"/>
          </w:tcPr>
          <w:p>
            <w:r>
              <w:rPr>
                <w:b/>
                <w:color w:val="FFFFFF"/>
                <w:sz w:val="20"/>
              </w:rPr>
              <w:t>Typical Knauf persona</w:t>
            </w:r>
          </w:p>
        </w:tc>
        <w:tc>
          <w:tcPr>
            <w:tcW w:type="dxa" w:w="3213"/>
            <w:shd w:val="clear" w:color="auto" w:fill="0B3D91"/>
          </w:tcPr>
          <w:p>
            <w:r>
              <w:rPr>
                <w:b/>
                <w:color w:val="FFFFFF"/>
                <w:sz w:val="20"/>
              </w:rPr>
              <w:t>Responsibility</w:t>
            </w:r>
          </w:p>
        </w:tc>
      </w:tr>
      <w:tr>
        <w:tc>
          <w:tcPr>
            <w:tcW w:type="dxa" w:w="3213"/>
          </w:tcPr>
          <w:p>
            <w:r>
              <w:rPr>
                <w:b/>
                <w:sz w:val="20"/>
              </w:rPr>
              <w:t>PM/SM</w:t>
            </w:r>
          </w:p>
        </w:tc>
        <w:tc>
          <w:tcPr>
            <w:tcW w:type="dxa" w:w="3213"/>
          </w:tcPr>
          <w:p>
            <w:r>
              <w:rPr>
                <w:sz w:val="20"/>
              </w:rPr>
              <w:t>Project / Service managers</w:t>
            </w:r>
          </w:p>
        </w:tc>
        <w:tc>
          <w:tcPr>
            <w:tcW w:type="dxa" w:w="3213"/>
          </w:tcPr>
          <w:p>
            <w:r>
              <w:rPr>
                <w:sz w:val="20"/>
              </w:rPr>
              <w:t>Steward master data, labor + non-labor plans for assigned work.</w:t>
            </w:r>
          </w:p>
        </w:tc>
      </w:tr>
      <w:tr>
        <w:tc>
          <w:tcPr>
            <w:tcW w:type="dxa" w:w="3213"/>
            <w:shd w:val="clear" w:color="auto" w:fill="F5F7FB"/>
          </w:tcPr>
          <w:p>
            <w:r>
              <w:rPr>
                <w:b/>
                <w:sz w:val="20"/>
              </w:rPr>
              <w:t>RM</w:t>
            </w:r>
          </w:p>
        </w:tc>
        <w:tc>
          <w:tcPr>
            <w:tcW w:type="dxa" w:w="3213"/>
            <w:shd w:val="clear" w:color="auto" w:fill="F5F7FB"/>
          </w:tcPr>
          <w:p>
            <w:r>
              <w:rPr>
                <w:sz w:val="20"/>
              </w:rPr>
              <w:t>Resource managers</w:t>
            </w:r>
          </w:p>
        </w:tc>
        <w:tc>
          <w:tcPr>
            <w:tcW w:type="dxa" w:w="3213"/>
            <w:shd w:val="clear" w:color="auto" w:fill="F5F7FB"/>
          </w:tcPr>
          <w:p>
            <w:r>
              <w:rPr>
                <w:sz w:val="20"/>
              </w:rPr>
              <w:t>Approves staffing changes, stewards pooled capacity tooling.</w:t>
            </w:r>
          </w:p>
        </w:tc>
      </w:tr>
      <w:tr>
        <w:tc>
          <w:tcPr>
            <w:tcW w:type="dxa" w:w="3213"/>
          </w:tcPr>
          <w:p>
            <w:r>
              <w:rPr>
                <w:b/>
                <w:sz w:val="20"/>
              </w:rPr>
              <w:t>Both</w:t>
            </w:r>
          </w:p>
        </w:tc>
        <w:tc>
          <w:tcPr>
            <w:tcW w:type="dxa" w:w="3213"/>
          </w:tcPr>
          <w:p>
            <w:r>
              <w:rPr>
                <w:sz w:val="20"/>
              </w:rPr>
              <w:t>Shared chapters</w:t>
            </w:r>
          </w:p>
        </w:tc>
        <w:tc>
          <w:tcPr>
            <w:tcW w:type="dxa" w:w="3213"/>
          </w:tcPr>
          <w:p>
            <w:r>
              <w:rPr>
                <w:sz w:val="20"/>
              </w:rPr>
              <w:t>Navigation, locating projects, report consumption fundamentals.</w:t>
            </w:r>
          </w:p>
        </w:tc>
      </w:tr>
    </w:tbl>
    <w:p/>
    <w:p>
      <w:r>
        <w:t>IT Controlling, PPM and Admin-Light colleagues use separate curricula even when UI chrome looks similar — extra tiles are entitlement-driven.</w:t>
      </w:r>
    </w:p>
    <w:p>
      <w:pPr>
        <w:pStyle w:val="Heading2"/>
      </w:pPr>
      <w:r>
        <w:t>Units &amp; grains (cheat line)</w:t>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Focus</w:t>
            </w:r>
          </w:p>
        </w:tc>
        <w:tc>
          <w:tcPr>
            <w:tcW w:type="dxa" w:w="4819"/>
            <w:shd w:val="clear" w:color="auto" w:fill="0B3D91"/>
          </w:tcPr>
          <w:p>
            <w:r>
              <w:rPr>
                <w:b/>
                <w:color w:val="FFFFFF"/>
                <w:sz w:val="20"/>
              </w:rPr>
              <w:t>Default @ Knauf</w:t>
            </w:r>
          </w:p>
        </w:tc>
      </w:tr>
      <w:tr>
        <w:tc>
          <w:tcPr>
            <w:tcW w:type="dxa" w:w="4819"/>
          </w:tcPr>
          <w:p>
            <w:r>
              <w:rPr>
                <w:sz w:val="20"/>
              </w:rPr>
              <w:t>Mandays in Allocations</w:t>
            </w:r>
          </w:p>
        </w:tc>
        <w:tc>
          <w:tcPr>
            <w:tcW w:type="dxa" w:w="4819"/>
          </w:tcPr>
          <w:p>
            <w:r>
              <w:rPr>
                <w:sz w:val="20"/>
              </w:rPr>
              <w:t>Month (switchable day→year)</w:t>
            </w:r>
          </w:p>
        </w:tc>
      </w:tr>
      <w:tr>
        <w:tc>
          <w:tcPr>
            <w:tcW w:type="dxa" w:w="4819"/>
            <w:shd w:val="clear" w:color="auto" w:fill="F5F7FB"/>
          </w:tcPr>
          <w:p>
            <w:r>
              <w:rPr>
                <w:sz w:val="20"/>
              </w:rPr>
              <w:t>Service portfolio views (RM tooling)</w:t>
            </w:r>
          </w:p>
        </w:tc>
        <w:tc>
          <w:tcPr>
            <w:tcW w:type="dxa" w:w="4819"/>
            <w:shd w:val="clear" w:color="auto" w:fill="F5F7FB"/>
          </w:tcPr>
          <w:p>
            <w:r>
              <w:rPr>
                <w:sz w:val="20"/>
              </w:rPr>
              <w:t>Usually month</w:t>
            </w:r>
          </w:p>
        </w:tc>
      </w:tr>
      <w:tr>
        <w:tc>
          <w:tcPr>
            <w:tcW w:type="dxa" w:w="4819"/>
          </w:tcPr>
          <w:p>
            <w:r>
              <w:rPr>
                <w:sz w:val="20"/>
              </w:rPr>
              <w:t>Non-labor financial planning</w:t>
            </w:r>
          </w:p>
        </w:tc>
        <w:tc>
          <w:tcPr>
            <w:tcW w:type="dxa" w:w="4819"/>
          </w:tcPr>
          <w:p>
            <w:r>
              <w:rPr>
                <w:sz w:val="20"/>
              </w:rPr>
              <w:t>Quarter (Month optional)</w:t>
            </w:r>
          </w:p>
        </w:tc>
      </w:tr>
      <w:tr>
        <w:tc>
          <w:tcPr>
            <w:tcW w:type="dxa" w:w="4819"/>
            <w:shd w:val="clear" w:color="auto" w:fill="F5F7FB"/>
          </w:tcPr>
          <w:p>
            <w:r>
              <w:rPr>
                <w:sz w:val="20"/>
              </w:rPr>
              <w:t>Roll-up dashboards downstream</w:t>
            </w:r>
          </w:p>
        </w:tc>
        <w:tc>
          <w:tcPr>
            <w:tcW w:type="dxa" w:w="4819"/>
            <w:shd w:val="clear" w:color="auto" w:fill="F5F7FB"/>
          </w:tcPr>
          <w:p>
            <w:r>
              <w:rPr>
                <w:sz w:val="20"/>
              </w:rPr>
              <w:t>Quarter / Year as agreed with Controlling</w:t>
            </w:r>
          </w:p>
        </w:tc>
      </w:tr>
    </w:tbl>
    <w:p/>
    <w:p>
      <w:r>
        <w:rPr>
          <w:b/>
        </w:rPr>
        <w:t>€ Cost tab</w:t>
      </w:r>
      <w:r>
        <w:t xml:space="preserve"> = purely derived staffing euros. </w:t>
      </w:r>
      <w:r>
        <w:rPr>
          <w:b/>
        </w:rPr>
        <w:t>CAPEX/OPEX classifications</w:t>
      </w:r>
      <w:r>
        <w:t xml:space="preserve"> belong to controlling policy — planners pick the descriptive category Finance defines.</w:t>
      </w:r>
    </w:p>
    <w:p>
      <w:pPr>
        <w:pStyle w:val="Heading3"/>
      </w:pPr>
      <w:r>
        <w:t>Phase‑1 footprint (one glance)</w:t>
      </w:r>
    </w:p>
    <w:p>
      <w:r>
        <w:t xml:space="preserve">Planning PM/SM: master data ✅, staffing plans ✅ (projects), staffing on services ⚠️ backlog per Knauf roadmap, staffing euro derived ✅, non-labor cost lines ✅, reporting </w:t>
      </w:r>
      <w:r>
        <w:rPr>
          <w:b/>
        </w:rPr>
        <w:t>consumption-only</w:t>
      </w:r>
      <w:r>
        <w:t xml:space="preserve"> ✅, building brand-new pivot reports ⚠️ (PPM/controlling toolchain). Operational actuals bridging SAP ↔ Tempus ⚠️ later program wave.</w:t>
      </w:r>
    </w:p>
    <w:p>
      <w:r>
        <w:t>Seven non-labor families you see in intake/financials training decks still apply verbatim: External consulting • IT licences • IT leasing • Managed IT • Other • CAPEX • Internal effort placeholders (rate × person-days from allocations downstream).</w:t>
      </w:r>
    </w:p>
    <w:p>
      <w:pPr>
        <w:pStyle w:val="Heading3"/>
      </w:pPr>
      <w:r>
        <w:t>Where to steal better pictures</w:t>
      </w:r>
    </w:p>
    <w:p>
      <w:r>
        <w:t>Screenshots bundled with Siemens/SHS PDFs (</w:t>
      </w:r>
      <w:r>
        <w:rPr>
          <w:rFonts w:ascii="Consolas" w:hAnsi="Consolas"/>
          <w:sz w:val="20"/>
        </w:rPr>
        <w:t>_tools/extract_pdf_images.py</w:t>
      </w:r>
      <w:r>
        <w:t>) or Help attachments (</w:t>
      </w:r>
      <w:r>
        <w:rPr>
          <w:rFonts w:ascii="Consolas" w:hAnsi="Consolas"/>
          <w:sz w:val="20"/>
        </w:rPr>
        <w:t>import_help_center_article_images.py</w:t>
      </w:r>
      <w:r>
        <w:t xml:space="preserve"> + browser network export → </w:t>
      </w:r>
      <w:r>
        <w:rPr>
          <w:rFonts w:ascii="Consolas" w:hAnsi="Consolas"/>
          <w:sz w:val="20"/>
        </w:rPr>
        <w:t>--urls-file</w:t>
      </w:r>
      <w:r>
        <w:t xml:space="preserve">) land under </w:t>
      </w:r>
      <w:r>
        <w:rPr>
          <w:rFonts w:ascii="Consolas" w:hAnsi="Consolas"/>
          <w:sz w:val="20"/>
        </w:rPr>
        <w:t>sources/…</w:t>
      </w:r>
      <w:r>
        <w:t xml:space="preserve"> first; after legal review rename into </w:t>
      </w:r>
      <w:r>
        <w:rPr>
          <w:rFonts w:ascii="Consolas" w:hAnsi="Consolas"/>
          <w:sz w:val="20"/>
        </w:rPr>
        <w:t>screens/</w:t>
      </w:r>
      <w:r>
        <w:t xml:space="preserve">, tag </w:t>
      </w:r>
      <w:r>
        <w:rPr>
          <w:rFonts w:ascii="Consolas" w:hAnsi="Consolas"/>
          <w:sz w:val="20"/>
        </w:rPr>
        <w:t>generic</w:t>
      </w:r>
      <w:r>
        <w:t>/</w:t>
      </w:r>
      <w:r>
        <w:rPr>
          <w:rFonts w:ascii="Consolas" w:hAnsi="Consolas"/>
          <w:sz w:val="20"/>
        </w:rPr>
        <w:t>customer</w:t>
      </w:r>
      <w:r>
        <w:t xml:space="preserve"> in </w:t>
      </w:r>
      <w:r>
        <w:rPr>
          <w:rFonts w:ascii="Consolas" w:hAnsi="Consolas"/>
          <w:sz w:val="20"/>
        </w:rPr>
        <w:t>index.json</w:t>
      </w:r>
      <w:r>
        <w:t xml:space="preserve">, expose via </w:t>
      </w:r>
      <w:r>
        <w:rPr>
          <w:rFonts w:ascii="Consolas" w:hAnsi="Consolas"/>
          <w:sz w:val="20"/>
        </w:rPr>
        <w:t>lib:…</w:t>
      </w:r>
      <w:r>
        <w:t>.</w:t>
      </w:r>
    </w:p>
    <w:tbl>
      <w:tblPr>
        <w:tblW w:type="auto" w:w="0"/>
        <w:tblLook w:firstColumn="1" w:firstRow="1" w:lastColumn="0" w:lastRow="0" w:noHBand="0" w:noVBand="1" w:val="04A0"/>
      </w:tblPr>
      <w:tblGrid>
        <w:gridCol w:w="9972"/>
      </w:tblGrid>
      <w:tr>
        <w:tc>
          <w:tcPr>
            <w:tcW w:type="dxa" w:w="9972"/>
            <w:shd w:val="clear" w:color="auto" w:fill="EAF1FB"/>
          </w:tcPr>
          <w:p>
            <w:r>
              <w:rPr>
                <w:b/>
                <w:color w:val="0B3D91"/>
              </w:rPr>
              <w:t xml:space="preserve">Note: </w:t>
            </w:r>
            <w:r>
              <w:t>Do not silently redistribute ProSymmetry IP — align with Knauf legal + vendor wording before circulating merged artwork.</w:t>
            </w:r>
          </w:p>
        </w:tc>
      </w:tr>
    </w:tbl>
    <w:p/>
    <w:p>
      <w:pPr>
        <w:pStyle w:val="Heading1"/>
      </w:pPr>
      <w:r>
        <w:t>Sign-in and Homescreen</w:t>
      </w:r>
    </w:p>
    <w:tbl>
      <w:tblPr>
        <w:tblW w:type="auto" w:w="0"/>
        <w:tblLayout w:type="autofit"/>
        <w:tblLook w:firstColumn="1" w:firstRow="1" w:lastColumn="0" w:lastRow="0" w:noHBand="0" w:noVBand="1" w:val="04A0"/>
      </w:tblPr>
      <w:tblGrid>
        <w:gridCol w:w="9972"/>
      </w:tblGrid>
      <w:tr>
        <w:tc>
          <w:tcPr>
            <w:tcW w:type="dxa" w:w="1474"/>
            <w:shd w:val="clear" w:color="auto" w:fill="5B2A86"/>
          </w:tcPr>
          <w:p>
            <w:pPr>
              <w:jc w:val="center"/>
            </w:pPr>
            <w:r>
              <w:rPr>
                <w:b/>
                <w:color w:val="FFFFFF"/>
                <w:sz w:val="18"/>
              </w:rPr>
              <w:t>Both</w:t>
            </w:r>
          </w:p>
        </w:tc>
      </w:tr>
    </w:tbl>
    <w:p/>
    <w:tbl>
      <w:tblPr>
        <w:tblW w:type="auto" w:w="0"/>
        <w:tblLayout w:type="autofit"/>
        <w:tblLook w:firstColumn="1" w:firstRow="1" w:lastColumn="0" w:lastRow="0" w:noHBand="0" w:noVBand="1" w:val="04A0"/>
      </w:tblPr>
      <w:tblGrid>
        <w:gridCol w:w="9972"/>
      </w:tblGrid>
      <w:tr>
        <w:tc>
          <w:tcPr>
            <w:tcW w:type="dxa" w:w="9972"/>
            <w:shd w:val="clear" w:color="auto" w:fill="EAF3FF"/>
            <w:tcBorders>
              <w:top w:val="single" w:sz="4" w:color="C8D2E8"/>
              <w:left w:val="single" w:sz="4" w:color="C8D2E8"/>
              <w:bottom w:val="single" w:sz="4" w:color="C8D2E8"/>
              <w:right w:val="single" w:sz="4" w:color="C8D2E8"/>
            </w:tcBorders>
          </w:tcPr>
          <w:p>
            <w:r>
              <w:rPr>
                <w:b/>
                <w:color w:val="0B3D91"/>
                <w:sz w:val="22"/>
              </w:rPr>
              <w:t>At a glance</w:t>
            </w:r>
          </w:p>
          <w:p>
            <w:r>
              <w:rPr>
                <w:b/>
                <w:color w:val="0B3D91"/>
              </w:rPr>
              <w:t xml:space="preserve">• </w:t>
            </w:r>
            <w:r>
              <w:t xml:space="preserve">Open </w:t>
            </w:r>
            <w:r>
              <w:rPr>
                <w:rFonts w:ascii="Consolas" w:hAnsi="Consolas"/>
                <w:sz w:val="20"/>
              </w:rPr>
              <w:t>https://knaufdev.tempus-resource.com/</w:t>
            </w:r>
            <w:r>
              <w:t xml:space="preserve"> (sandbox) or your production URL in Chrome.</w:t>
            </w:r>
          </w:p>
          <w:p>
            <w:r>
              <w:rPr>
                <w:b/>
                <w:color w:val="0B3D91"/>
              </w:rPr>
              <w:t xml:space="preserve">• </w:t>
            </w:r>
            <w:r>
              <w:t xml:space="preserve">Use </w:t>
            </w:r>
            <w:r>
              <w:rPr>
                <w:b/>
              </w:rPr>
              <w:t>SSO</w:t>
            </w:r>
            <w:r>
              <w:t xml:space="preserve"> in production, or the local </w:t>
            </w:r>
            <w:r>
              <w:rPr>
                <w:b/>
              </w:rPr>
              <w:t>Log In</w:t>
            </w:r>
            <w:r>
              <w:t xml:space="preserve"> for sandbox/training accounts.</w:t>
            </w:r>
          </w:p>
          <w:p>
            <w:r>
              <w:rPr>
                <w:b/>
                <w:color w:val="0B3D91"/>
              </w:rPr>
              <w:t xml:space="preserve">• </w:t>
            </w:r>
            <w:r>
              <w:t xml:space="preserve">The homescreen tiles you see depend on your </w:t>
            </w:r>
            <w:r>
              <w:rPr>
                <w:b/>
              </w:rPr>
              <w:t>global role</w:t>
            </w:r>
            <w:r>
              <w:t>. PM/SM and RM see different sets.</w:t>
            </w:r>
          </w:p>
        </w:tc>
      </w:tr>
    </w:tbl>
    <w:p/>
    <w:p>
      <w:pPr>
        <w:pStyle w:val="Heading2"/>
      </w:pPr>
      <w:r>
        <w:t>Sign In</w:t>
      </w:r>
    </w:p>
    <w:tbl>
      <w:tblPr>
        <w:tblW w:type="auto" w:w="0"/>
        <w:tblLayout w:type="autofit"/>
        <w:tblLook w:firstColumn="1" w:firstRow="1" w:lastColumn="0" w:lastRow="0" w:noHBand="0" w:noVBand="1" w:val="04A0"/>
      </w:tblPr>
      <w:tblGrid>
        <w:gridCol w:w="9972"/>
      </w:tblGrid>
      <w:tr>
        <w:tc>
          <w:tcPr>
            <w:tcW w:type="dxa" w:w="9972"/>
            <w:shd w:val="clear" w:color="auto" w:fill="F5F0FF"/>
            <w:tcBorders>
              <w:top w:val="single" w:sz="4" w:color="C8D2E8"/>
              <w:left w:val="single" w:sz="4" w:color="C8D2E8"/>
              <w:bottom w:val="single" w:sz="4" w:color="C8D2E8"/>
              <w:right w:val="single" w:sz="4" w:color="C8D2E8"/>
            </w:tcBorders>
          </w:tcPr>
          <w:p>
            <w:r>
              <w:rPr>
                <w:b/>
                <w:color w:val="0B3D91"/>
                <w:sz w:val="22"/>
              </w:rPr>
              <w:t>How to</w:t>
            </w:r>
          </w:p>
          <w:p>
            <w:r>
              <w:rPr>
                <w:b/>
                <w:color w:val="0B3D91"/>
              </w:rPr>
              <w:t xml:space="preserve">1. </w:t>
            </w:r>
            <w:r>
              <w:t>Open the Tempus URL provided by Knauf IT.</w:t>
            </w:r>
          </w:p>
          <w:p>
            <w:r>
              <w:rPr>
                <w:b/>
                <w:color w:val="0B3D91"/>
              </w:rPr>
              <w:t xml:space="preserve">2. </w:t>
            </w:r>
            <w:r>
              <w:t xml:space="preserve">Choose </w:t>
            </w:r>
            <w:r>
              <w:rPr>
                <w:b/>
              </w:rPr>
              <w:t>Continue With Saml</w:t>
            </w:r>
            <w:r>
              <w:t xml:space="preserve"> (orange) for production SSO, or </w:t>
            </w:r>
            <w:r>
              <w:rPr>
                <w:b/>
              </w:rPr>
              <w:t>Log In</w:t>
            </w:r>
            <w:r>
              <w:t xml:space="preserve"> (green) for sandbox/training accounts.</w:t>
            </w:r>
          </w:p>
          <w:p>
            <w:r>
              <w:rPr>
                <w:b/>
                <w:color w:val="0B3D91"/>
              </w:rPr>
              <w:t xml:space="preserve">3. </w:t>
            </w:r>
            <w:r>
              <w:t xml:space="preserve">For sandbox: enter the user (for example </w:t>
            </w:r>
            <w:r>
              <w:rPr>
                <w:rFonts w:ascii="Consolas" w:hAnsi="Consolas"/>
                <w:sz w:val="20"/>
              </w:rPr>
              <w:t>pm</w:t>
            </w:r>
            <w:r>
              <w:t xml:space="preserve"> for PM/SM, </w:t>
            </w:r>
            <w:r>
              <w:rPr>
                <w:rFonts w:ascii="Consolas" w:hAnsi="Consolas"/>
                <w:sz w:val="20"/>
              </w:rPr>
              <w:t>rm</w:t>
            </w:r>
            <w:r>
              <w:t xml:space="preserve"> for RM) plus the Knauf-issued password.</w:t>
            </w:r>
          </w:p>
          <w:p>
            <w:r>
              <w:rPr>
                <w:b/>
                <w:color w:val="0B3D91"/>
              </w:rPr>
              <w:t xml:space="preserve">4. </w:t>
            </w:r>
            <w:r>
              <w:t xml:space="preserve">Land on the Welcome screen with your name and the environment label (for example </w:t>
            </w:r>
            <w:r>
              <w:rPr>
                <w:rFonts w:ascii="Consolas" w:hAnsi="Consolas"/>
                <w:sz w:val="20"/>
              </w:rPr>
              <w:t>Knauf - DEV</w:t>
            </w:r>
            <w:r>
              <w:t>).</w:t>
            </w:r>
          </w:p>
        </w:tc>
      </w:tr>
    </w:tbl>
    <w:p/>
    <w:tbl>
      <w:tblPr>
        <w:tblW w:type="auto" w:w="0"/>
        <w:tblLook w:firstColumn="1" w:firstRow="1" w:lastColumn="0" w:lastRow="0" w:noHBand="0" w:noVBand="1" w:val="04A0"/>
      </w:tblPr>
      <w:tblGrid>
        <w:gridCol w:w="9972"/>
      </w:tblGrid>
      <w:tr>
        <w:tc>
          <w:tcPr>
            <w:tcW w:type="dxa" w:w="9972"/>
            <w:shd w:val="clear" w:color="auto" w:fill="FBEAEA"/>
          </w:tcPr>
          <w:p>
            <w:r>
              <w:rPr>
                <w:b/>
                <w:color w:val="B0312F"/>
              </w:rPr>
              <w:t xml:space="preserve">Warning: </w:t>
            </w:r>
            <w:r>
              <w:t>Never share passwords by email, chat, or in documents. Get sandbox credentials from the Knauf Tempus admin via the agreed secure channel.</w:t>
            </w:r>
          </w:p>
        </w:tc>
      </w:tr>
    </w:tbl>
    <w:p/>
    <w:p>
      <w:pPr>
        <w:pStyle w:val="Heading2"/>
      </w:pPr>
      <w:r>
        <w:t>Homescreen for PM/SM</w:t>
      </w:r>
    </w:p>
    <w:p>
      <w:r>
        <w:t xml:space="preserve">The PM/SM profile stays intentionally lean: everyday work revolves around </w:t>
      </w:r>
      <w:r>
        <w:rPr>
          <w:b/>
        </w:rPr>
        <w:t>Project Management</w:t>
      </w:r>
      <w:r>
        <w:t xml:space="preserve"> — the tiny </w:t>
      </w:r>
      <w:r>
        <w:rPr>
          <w:b/>
        </w:rPr>
        <w:t>+</w:t>
      </w:r>
      <w:r>
        <w:t xml:space="preserve"> badge opens </w:t>
      </w:r>
      <w:r>
        <w:rPr>
          <w:b/>
        </w:rPr>
        <w:t>Create Project</w:t>
      </w:r>
      <w:r>
        <w:t xml:space="preserve"> without an extra navigation hop — plus </w:t>
      </w:r>
      <w:r>
        <w:rPr>
          <w:b/>
        </w:rPr>
        <w:t>Report Management</w:t>
      </w:r>
      <w:r>
        <w:t xml:space="preserve"> for dashboards your organisation shares. Environment text such as </w:t>
      </w:r>
      <w:r>
        <w:rPr>
          <w:b/>
        </w:rPr>
        <w:t>Knauf - DEV</w:t>
      </w:r>
      <w:r>
        <w:t xml:space="preserve"> confirms you are on the correct tenant. The illustration below is a compact crop of the two-tile layout as seen with the PM/SM (Dummy) training login so you can visually match the labels on your own screen. </w:t>
      </w:r>
      <w:r>
        <w:drawing>
          <wp:inline xmlns:a="http://schemas.openxmlformats.org/drawingml/2006/main" xmlns:pic="http://schemas.openxmlformats.org/drawingml/2006/picture">
            <wp:extent cx="3311999" cy="3085593"/>
            <wp:docPr id="1" name="Picture 1"/>
            <wp:cNvGraphicFramePr>
              <a:graphicFrameLocks noChangeAspect="1"/>
            </wp:cNvGraphicFramePr>
            <a:graphic>
              <a:graphicData uri="http://schemas.openxmlformats.org/drawingml/2006/picture">
                <pic:pic>
                  <pic:nvPicPr>
                    <pic:cNvPr id="0" name="qrg_01_homescreen_pmsm.png"/>
                    <pic:cNvPicPr/>
                  </pic:nvPicPr>
                  <pic:blipFill>
                    <a:blip r:embed="rId10"/>
                    <a:stretch>
                      <a:fillRect/>
                    </a:stretch>
                  </pic:blipFill>
                  <pic:spPr>
                    <a:xfrm>
                      <a:off x="0" y="0"/>
                      <a:ext cx="3311999" cy="3085593"/>
                    </a:xfrm>
                    <a:prstGeom prst="rect"/>
                  </pic:spPr>
                </pic:pic>
              </a:graphicData>
            </a:graphic>
          </wp:inline>
        </w:drawing>
      </w:r>
    </w:p>
    <w:p>
      <w:pPr>
        <w:pStyle w:val="Heading2"/>
      </w:pPr>
      <w:r>
        <w:t>Homescreen for RM (Typical)</w:t>
      </w:r>
    </w:p>
    <w:p>
      <w:r>
        <w:t xml:space="preserve">RM typically sees more cross-project tiles, for example </w:t>
      </w:r>
      <w:r>
        <w:rPr>
          <w:b/>
        </w:rPr>
        <w:t>Resource Management</w:t>
      </w:r>
      <w:r>
        <w:t xml:space="preserve">, </w:t>
      </w:r>
      <w:r>
        <w:rPr>
          <w:b/>
        </w:rPr>
        <w:t>Bulk Project Allocation Flatgrid</w:t>
      </w:r>
      <w:r>
        <w:t xml:space="preserve">, </w:t>
      </w:r>
      <w:r>
        <w:rPr>
          <w:b/>
        </w:rPr>
        <w:t>All Resource Requests</w:t>
      </w:r>
      <w:r>
        <w:t xml:space="preserve"> / </w:t>
      </w:r>
      <w:r>
        <w:rPr>
          <w:b/>
        </w:rPr>
        <w:t>Resource Requests</w:t>
      </w:r>
      <w:r>
        <w:t xml:space="preserve">, and </w:t>
      </w:r>
      <w:r>
        <w:rPr>
          <w:b/>
        </w:rPr>
        <w:t>Bulk Resource Capacities</w:t>
      </w:r>
      <w:r>
        <w:t>. The exact set depends on Knauf's RM global role.</w:t>
      </w:r>
    </w:p>
    <w:tbl>
      <w:tblPr>
        <w:tblW w:type="auto" w:w="0"/>
        <w:tblLook w:firstColumn="1" w:firstRow="1" w:lastColumn="0" w:lastRow="0" w:noHBand="0" w:noVBand="1" w:val="04A0"/>
      </w:tblPr>
      <w:tblGrid>
        <w:gridCol w:w="9972"/>
      </w:tblGrid>
      <w:tr>
        <w:tc>
          <w:tcPr>
            <w:tcW w:type="dxa" w:w="9972"/>
            <w:shd w:val="clear" w:color="auto" w:fill="EAF1FB"/>
          </w:tcPr>
          <w:p>
            <w:r>
              <w:rPr>
                <w:b/>
                <w:color w:val="0B3D91"/>
              </w:rPr>
              <w:t xml:space="preserve">Note: </w:t>
            </w:r>
            <w:r>
              <w:t>If a screen mentioned in this guide is missing from your homescreen, you are most likely not granted that area. Ask the Knauf Tempus owner if access is intended.</w:t>
            </w:r>
          </w:p>
        </w:tc>
      </w:tr>
    </w:tbl>
    <w:p/>
    <w:p>
      <w:pPr>
        <w:pStyle w:val="Heading2"/>
      </w:pPr>
      <w:r>
        <w:t>Top Bar Reference</w:t>
      </w:r>
    </w:p>
    <w:p>
      <w:r>
        <w:t>The blue top bar is identical on every screen. Each icon is a single click.</w:t>
      </w:r>
    </w:p>
    <w:tbl>
      <w:tblPr>
        <w:tblW w:type="auto" w:w="0"/>
        <w:tblLayout w:type="autofit"/>
        <w:tblLook w:firstColumn="1" w:firstRow="1" w:lastColumn="0" w:lastRow="0" w:noHBand="0" w:noVBand="1" w:val="04A0"/>
      </w:tblPr>
      <w:tblGrid>
        <w:gridCol w:w="3324"/>
        <w:gridCol w:w="3324"/>
        <w:gridCol w:w="3324"/>
      </w:tblGrid>
      <w:tr>
        <w:tc>
          <w:tcPr>
            <w:tcW w:type="dxa" w:w="3213"/>
            <w:shd w:val="clear" w:color="auto" w:fill="0B3D91"/>
          </w:tcPr>
          <w:p>
            <w:r>
              <w:rPr>
                <w:b/>
                <w:color w:val="FFFFFF"/>
                <w:sz w:val="20"/>
              </w:rPr>
              <w:t>Icon</w:t>
            </w:r>
          </w:p>
        </w:tc>
        <w:tc>
          <w:tcPr>
            <w:tcW w:type="dxa" w:w="3213"/>
            <w:shd w:val="clear" w:color="auto" w:fill="0B3D91"/>
          </w:tcPr>
          <w:p>
            <w:r>
              <w:rPr>
                <w:b/>
                <w:color w:val="FFFFFF"/>
                <w:sz w:val="20"/>
              </w:rPr>
              <w:t>Name</w:t>
            </w:r>
          </w:p>
        </w:tc>
        <w:tc>
          <w:tcPr>
            <w:tcW w:type="dxa" w:w="3213"/>
            <w:shd w:val="clear" w:color="auto" w:fill="0B3D91"/>
          </w:tcPr>
          <w:p>
            <w:r>
              <w:rPr>
                <w:b/>
                <w:color w:val="FFFFFF"/>
                <w:sz w:val="20"/>
              </w:rPr>
              <w:t>What it does</w:t>
            </w:r>
          </w:p>
        </w:tc>
      </w:tr>
      <w:tr>
        <w:tc>
          <w:tcPr>
            <w:tcW w:type="dxa" w:w="3213"/>
          </w:tcPr>
          <w:p>
            <w:r>
              <w:rPr>
                <w:b/>
                <w:sz w:val="20"/>
              </w:rPr>
              <w:t>Tempus logo</w:t>
            </w:r>
          </w:p>
        </w:tc>
        <w:tc>
          <w:tcPr>
            <w:tcW w:type="dxa" w:w="3213"/>
          </w:tcPr>
          <w:p>
            <w:r>
              <w:rPr>
                <w:sz w:val="20"/>
              </w:rPr>
              <w:t>Home</w:t>
            </w:r>
          </w:p>
        </w:tc>
        <w:tc>
          <w:tcPr>
            <w:tcW w:type="dxa" w:w="3213"/>
          </w:tcPr>
          <w:p>
            <w:r>
              <w:rPr>
                <w:sz w:val="20"/>
              </w:rPr>
              <w:t>Back to the homescreen.</w:t>
            </w:r>
          </w:p>
        </w:tc>
      </w:tr>
      <w:tr>
        <w:tc>
          <w:tcPr>
            <w:tcW w:type="dxa" w:w="3213"/>
            <w:shd w:val="clear" w:color="auto" w:fill="F5F7FB"/>
          </w:tcPr>
          <w:p>
            <w:r>
              <w:rPr>
                <w:sz w:val="20"/>
              </w:rPr>
              <w:drawing>
                <wp:inline xmlns:a="http://schemas.openxmlformats.org/drawingml/2006/main" xmlns:pic="http://schemas.openxmlformats.org/drawingml/2006/picture">
                  <wp:extent cx="147320" cy="152400"/>
                  <wp:docPr id="2" name="Picture 2"/>
                  <wp:cNvGraphicFramePr>
                    <a:graphicFrameLocks noChangeAspect="1"/>
                  </wp:cNvGraphicFramePr>
                  <a:graphic>
                    <a:graphicData uri="http://schemas.openxmlformats.org/drawingml/2006/picture">
                      <pic:pic>
                        <pic:nvPicPr>
                          <pic:cNvPr id="0" name="icon_topbar_search.png"/>
                          <pic:cNvPicPr/>
                        </pic:nvPicPr>
                        <pic:blipFill>
                          <a:blip r:embed="rId11"/>
                          <a:stretch>
                            <a:fillRect/>
                          </a:stretch>
                        </pic:blipFill>
                        <pic:spPr>
                          <a:xfrm>
                            <a:off x="0" y="0"/>
                            <a:ext cx="147320" cy="152400"/>
                          </a:xfrm>
                          <a:prstGeom prst="rect"/>
                        </pic:spPr>
                      </pic:pic>
                    </a:graphicData>
                  </a:graphic>
                </wp:inline>
              </w:drawing>
            </w:r>
          </w:p>
        </w:tc>
        <w:tc>
          <w:tcPr>
            <w:tcW w:type="dxa" w:w="3213"/>
            <w:shd w:val="clear" w:color="auto" w:fill="F5F7FB"/>
          </w:tcPr>
          <w:p>
            <w:r>
              <w:rPr>
                <w:sz w:val="20"/>
              </w:rPr>
              <w:t>Search</w:t>
            </w:r>
          </w:p>
        </w:tc>
        <w:tc>
          <w:tcPr>
            <w:tcW w:type="dxa" w:w="3213"/>
            <w:shd w:val="clear" w:color="auto" w:fill="F5F7FB"/>
          </w:tcPr>
          <w:p>
            <w:r>
              <w:rPr>
                <w:sz w:val="20"/>
              </w:rPr>
              <w:t>Global search across projects, resources, reports.</w:t>
            </w:r>
          </w:p>
        </w:tc>
      </w:tr>
      <w:tr>
        <w:tc>
          <w:tcPr>
            <w:tcW w:type="dxa" w:w="3213"/>
          </w:tcPr>
          <w:p>
            <w:r>
              <w:rPr>
                <w:sz w:val="20"/>
              </w:rP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icon_topbar_bell.png"/>
                          <pic:cNvPicPr/>
                        </pic:nvPicPr>
                        <pic:blipFill>
                          <a:blip r:embed="rId12"/>
                          <a:stretch>
                            <a:fillRect/>
                          </a:stretch>
                        </pic:blipFill>
                        <pic:spPr>
                          <a:xfrm>
                            <a:off x="0" y="0"/>
                            <a:ext cx="152400" cy="152400"/>
                          </a:xfrm>
                          <a:prstGeom prst="rect"/>
                        </pic:spPr>
                      </pic:pic>
                    </a:graphicData>
                  </a:graphic>
                </wp:inline>
              </w:drawing>
            </w:r>
          </w:p>
        </w:tc>
        <w:tc>
          <w:tcPr>
            <w:tcW w:type="dxa" w:w="3213"/>
          </w:tcPr>
          <w:p>
            <w:r>
              <w:rPr>
                <w:sz w:val="20"/>
              </w:rPr>
              <w:t>Notifications</w:t>
            </w:r>
          </w:p>
        </w:tc>
        <w:tc>
          <w:tcPr>
            <w:tcW w:type="dxa" w:w="3213"/>
          </w:tcPr>
          <w:p>
            <w:r>
              <w:rPr>
                <w:sz w:val="20"/>
              </w:rPr>
              <w:t>In-app notifications. A red dot means unread items.</w:t>
            </w:r>
          </w:p>
        </w:tc>
      </w:tr>
      <w:tr>
        <w:tc>
          <w:tcPr>
            <w:tcW w:type="dxa" w:w="3213"/>
            <w:shd w:val="clear" w:color="auto" w:fill="F5F7FB"/>
          </w:tcPr>
          <w:p>
            <w:r>
              <w:rPr>
                <w:sz w:val="20"/>
              </w:rPr>
              <w:drawing>
                <wp:inline xmlns:a="http://schemas.openxmlformats.org/drawingml/2006/main" xmlns:pic="http://schemas.openxmlformats.org/drawingml/2006/picture">
                  <wp:extent cx="147320" cy="152400"/>
                  <wp:docPr id="4" name="Picture 4"/>
                  <wp:cNvGraphicFramePr>
                    <a:graphicFrameLocks noChangeAspect="1"/>
                  </wp:cNvGraphicFramePr>
                  <a:graphic>
                    <a:graphicData uri="http://schemas.openxmlformats.org/drawingml/2006/picture">
                      <pic:pic>
                        <pic:nvPicPr>
                          <pic:cNvPr id="0" name="icon_topbar_menu.png"/>
                          <pic:cNvPicPr/>
                        </pic:nvPicPr>
                        <pic:blipFill>
                          <a:blip r:embed="rId13"/>
                          <a:stretch>
                            <a:fillRect/>
                          </a:stretch>
                        </pic:blipFill>
                        <pic:spPr>
                          <a:xfrm>
                            <a:off x="0" y="0"/>
                            <a:ext cx="147320" cy="152400"/>
                          </a:xfrm>
                          <a:prstGeom prst="rect"/>
                        </pic:spPr>
                      </pic:pic>
                    </a:graphicData>
                  </a:graphic>
                </wp:inline>
              </w:drawing>
            </w:r>
          </w:p>
        </w:tc>
        <w:tc>
          <w:tcPr>
            <w:tcW w:type="dxa" w:w="3213"/>
            <w:shd w:val="clear" w:color="auto" w:fill="F5F7FB"/>
          </w:tcPr>
          <w:p>
            <w:r>
              <w:rPr>
                <w:sz w:val="20"/>
              </w:rPr>
              <w:t>Menu</w:t>
            </w:r>
          </w:p>
        </w:tc>
        <w:tc>
          <w:tcPr>
            <w:tcW w:type="dxa" w:w="3213"/>
            <w:shd w:val="clear" w:color="auto" w:fill="F5F7FB"/>
          </w:tcPr>
          <w:p>
            <w:r>
              <w:rPr>
                <w:sz w:val="20"/>
              </w:rPr>
              <w:t>Full navigation drawer with every module you have access to.</w:t>
            </w:r>
          </w:p>
        </w:tc>
      </w:tr>
      <w:tr>
        <w:tc>
          <w:tcPr>
            <w:tcW w:type="dxa" w:w="3213"/>
          </w:tcPr>
          <w:p>
            <w:r>
              <w:rPr>
                <w:sz w:val="20"/>
              </w:rPr>
              <w:drawing>
                <wp:inline xmlns:a="http://schemas.openxmlformats.org/drawingml/2006/main" xmlns:pic="http://schemas.openxmlformats.org/drawingml/2006/picture">
                  <wp:extent cx="147320" cy="152400"/>
                  <wp:docPr id="5" name="Picture 5"/>
                  <wp:cNvGraphicFramePr>
                    <a:graphicFrameLocks noChangeAspect="1"/>
                  </wp:cNvGraphicFramePr>
                  <a:graphic>
                    <a:graphicData uri="http://schemas.openxmlformats.org/drawingml/2006/picture">
                      <pic:pic>
                        <pic:nvPicPr>
                          <pic:cNvPr id="0" name="icon_topbar_help.png"/>
                          <pic:cNvPicPr/>
                        </pic:nvPicPr>
                        <pic:blipFill>
                          <a:blip r:embed="rId14"/>
                          <a:stretch>
                            <a:fillRect/>
                          </a:stretch>
                        </pic:blipFill>
                        <pic:spPr>
                          <a:xfrm>
                            <a:off x="0" y="0"/>
                            <a:ext cx="147320" cy="152400"/>
                          </a:xfrm>
                          <a:prstGeom prst="rect"/>
                        </pic:spPr>
                      </pic:pic>
                    </a:graphicData>
                  </a:graphic>
                </wp:inline>
              </w:drawing>
            </w:r>
          </w:p>
        </w:tc>
        <w:tc>
          <w:tcPr>
            <w:tcW w:type="dxa" w:w="3213"/>
          </w:tcPr>
          <w:p>
            <w:r>
              <w:rPr>
                <w:sz w:val="20"/>
              </w:rPr>
              <w:t>Help</w:t>
            </w:r>
          </w:p>
        </w:tc>
        <w:tc>
          <w:tcPr>
            <w:tcW w:type="dxa" w:w="3213"/>
          </w:tcPr>
          <w:p>
            <w:r>
              <w:rPr>
                <w:sz w:val="20"/>
              </w:rPr>
              <w:t xml:space="preserve">Opens the </w:t>
            </w:r>
            <w:r>
              <w:rPr>
                <w:b/>
                <w:sz w:val="20"/>
              </w:rPr>
              <w:t>ProSymmetry Help Center</w:t>
            </w:r>
            <w:r>
              <w:rPr>
                <w:sz w:val="20"/>
              </w:rPr>
              <w:t xml:space="preserve"> in a new tab.</w:t>
            </w:r>
          </w:p>
        </w:tc>
      </w:tr>
      <w:tr>
        <w:tc>
          <w:tcPr>
            <w:tcW w:type="dxa" w:w="3213"/>
            <w:shd w:val="clear" w:color="auto" w:fill="F5F7FB"/>
          </w:tcPr>
          <w:p>
            <w:r>
              <w:rPr>
                <w:b/>
                <w:sz w:val="20"/>
              </w:rPr>
              <w:t>Moon / Sun</w:t>
            </w:r>
          </w:p>
        </w:tc>
        <w:tc>
          <w:tcPr>
            <w:tcW w:type="dxa" w:w="3213"/>
            <w:shd w:val="clear" w:color="auto" w:fill="F5F7FB"/>
          </w:tcPr>
          <w:p>
            <w:r>
              <w:rPr>
                <w:sz w:val="20"/>
              </w:rPr>
              <w:t>Theme</w:t>
            </w:r>
          </w:p>
        </w:tc>
        <w:tc>
          <w:tcPr>
            <w:tcW w:type="dxa" w:w="3213"/>
            <w:shd w:val="clear" w:color="auto" w:fill="F5F7FB"/>
          </w:tcPr>
          <w:p>
            <w:r>
              <w:rPr>
                <w:sz w:val="20"/>
              </w:rPr>
              <w:t>Toggle dark mode.</w:t>
            </w:r>
          </w:p>
        </w:tc>
      </w:tr>
      <w:tr>
        <w:tc>
          <w:tcPr>
            <w:tcW w:type="dxa" w:w="3213"/>
          </w:tcPr>
          <w:p>
            <w:r>
              <w:rPr>
                <w:b/>
                <w:sz w:val="20"/>
              </w:rPr>
              <w:t>Your avatar</w:t>
            </w:r>
          </w:p>
        </w:tc>
        <w:tc>
          <w:tcPr>
            <w:tcW w:type="dxa" w:w="3213"/>
          </w:tcPr>
          <w:p>
            <w:r>
              <w:rPr>
                <w:sz w:val="20"/>
              </w:rPr>
              <w:t>Profile</w:t>
            </w:r>
          </w:p>
        </w:tc>
        <w:tc>
          <w:tcPr>
            <w:tcW w:type="dxa" w:w="3213"/>
          </w:tcPr>
          <w:p>
            <w:r>
              <w:rPr>
                <w:sz w:val="20"/>
              </w:rPr>
              <w:t>Profile, Subscriptions, Logout.</w:t>
            </w:r>
          </w:p>
        </w:tc>
      </w:tr>
    </w:tbl>
    <w:p/>
    <w:p>
      <w:pPr>
        <w:pStyle w:val="Heading2"/>
      </w:pPr>
      <w:r>
        <w:t>Notification Subscriptions</w:t>
      </w:r>
    </w:p>
    <w:tbl>
      <w:tblPr>
        <w:tblW w:type="auto" w:w="0"/>
        <w:tblLayout w:type="autofit"/>
        <w:tblLook w:firstColumn="1" w:firstRow="1" w:lastColumn="0" w:lastRow="0" w:noHBand="0" w:noVBand="1" w:val="04A0"/>
      </w:tblPr>
      <w:tblGrid>
        <w:gridCol w:w="9972"/>
      </w:tblGrid>
      <w:tr>
        <w:tc>
          <w:tcPr>
            <w:tcW w:type="dxa" w:w="9972"/>
            <w:shd w:val="clear" w:color="auto" w:fill="F5F0FF"/>
            <w:tcBorders>
              <w:top w:val="single" w:sz="4" w:color="C8D2E8"/>
              <w:left w:val="single" w:sz="4" w:color="C8D2E8"/>
              <w:bottom w:val="single" w:sz="4" w:color="C8D2E8"/>
              <w:right w:val="single" w:sz="4" w:color="C8D2E8"/>
            </w:tcBorders>
          </w:tcPr>
          <w:p>
            <w:r>
              <w:rPr>
                <w:b/>
                <w:color w:val="0B3D91"/>
                <w:sz w:val="22"/>
              </w:rPr>
              <w:t>How to</w:t>
            </w:r>
          </w:p>
          <w:p>
            <w:r>
              <w:rPr>
                <w:b/>
                <w:color w:val="0B3D91"/>
              </w:rPr>
              <w:t xml:space="preserve">1. </w:t>
            </w:r>
            <w:r>
              <w:t xml:space="preserve">Click your avatar &gt; </w:t>
            </w:r>
            <w:r>
              <w:rPr>
                <w:b/>
              </w:rPr>
              <w:t>Subscriptions</w:t>
            </w:r>
            <w:r>
              <w:t>.</w:t>
            </w:r>
          </w:p>
          <w:p>
            <w:r>
              <w:rPr>
                <w:b/>
                <w:color w:val="0B3D91"/>
              </w:rPr>
              <w:t xml:space="preserve">2. </w:t>
            </w:r>
            <w:r>
              <w:t xml:space="preserve">On the </w:t>
            </w:r>
            <w:r>
              <w:rPr>
                <w:b/>
              </w:rPr>
              <w:t>Project</w:t>
            </w:r>
            <w:r>
              <w:t xml:space="preserve"> tab, add the projects you want to follow.</w:t>
            </w:r>
          </w:p>
          <w:p>
            <w:r>
              <w:rPr>
                <w:b/>
                <w:color w:val="0B3D91"/>
              </w:rPr>
              <w:t xml:space="preserve">3. </w:t>
            </w:r>
            <w:r>
              <w:t xml:space="preserve">For each project, enable </w:t>
            </w:r>
            <w:r>
              <w:rPr>
                <w:b/>
              </w:rPr>
              <w:t>Attributes</w:t>
            </w:r>
            <w:r>
              <w:t xml:space="preserve">, </w:t>
            </w:r>
            <w:r>
              <w:rPr>
                <w:b/>
              </w:rPr>
              <w:t>Allocations</w:t>
            </w:r>
            <w:r>
              <w:t xml:space="preserve">, and </w:t>
            </w:r>
            <w:r>
              <w:rPr>
                <w:b/>
              </w:rPr>
              <w:t>Deleted</w:t>
            </w:r>
            <w:r>
              <w:t xml:space="preserve"> notifications.</w:t>
            </w:r>
          </w:p>
          <w:p>
            <w:r>
              <w:rPr>
                <w:b/>
                <w:color w:val="0B3D91"/>
              </w:rPr>
              <w:t xml:space="preserve">4. </w:t>
            </w:r>
            <w:r>
              <w:t xml:space="preserve">On the </w:t>
            </w:r>
            <w:r>
              <w:rPr>
                <w:b/>
              </w:rPr>
              <w:t>Resource Request</w:t>
            </w:r>
            <w:r>
              <w:t xml:space="preserve"> tab, enable the outcomes you care about for requests you submit.</w:t>
            </w:r>
          </w:p>
        </w:tc>
      </w:tr>
    </w:tbl>
    <w:p/>
    <w:tbl>
      <w:tblPr>
        <w:tblW w:type="auto" w:w="0"/>
        <w:tblLook w:firstColumn="1" w:firstRow="1" w:lastColumn="0" w:lastRow="0" w:noHBand="0" w:noVBand="1" w:val="04A0"/>
      </w:tblPr>
      <w:tblGrid>
        <w:gridCol w:w="9972"/>
      </w:tblGrid>
      <w:tr>
        <w:tc>
          <w:tcPr>
            <w:tcW w:type="dxa" w:w="9972"/>
            <w:shd w:val="clear" w:color="auto" w:fill="EAF7EE"/>
          </w:tcPr>
          <w:p>
            <w:r>
              <w:rPr>
                <w:b/>
                <w:color w:val="1E7A3C"/>
              </w:rPr>
              <w:t xml:space="preserve">Tip: </w:t>
            </w:r>
            <w:r>
              <w:t>Avoid the "all projects" option. Each subscription has to be removed individually, so being selective saves time.</w:t>
            </w:r>
          </w:p>
        </w:tc>
      </w:tr>
    </w:tbl>
    <w:p/>
    <w:p>
      <w:pPr>
        <w:pStyle w:val="Heading1"/>
      </w:pPr>
      <w:r>
        <w:t>Find and Open a Project</w:t>
      </w:r>
    </w:p>
    <w:tbl>
      <w:tblPr>
        <w:tblW w:type="auto" w:w="0"/>
        <w:tblLayout w:type="autofit"/>
        <w:tblLook w:firstColumn="1" w:firstRow="1" w:lastColumn="0" w:lastRow="0" w:noHBand="0" w:noVBand="1" w:val="04A0"/>
      </w:tblPr>
      <w:tblGrid>
        <w:gridCol w:w="9972"/>
      </w:tblGrid>
      <w:tr>
        <w:tc>
          <w:tcPr>
            <w:tcW w:type="dxa" w:w="1474"/>
            <w:shd w:val="clear" w:color="auto" w:fill="5B2A86"/>
          </w:tcPr>
          <w:p>
            <w:pPr>
              <w:jc w:val="center"/>
            </w:pPr>
            <w:r>
              <w:rPr>
                <w:b/>
                <w:color w:val="FFFFFF"/>
                <w:sz w:val="18"/>
              </w:rPr>
              <w:t>Both</w:t>
            </w:r>
          </w:p>
        </w:tc>
      </w:tr>
    </w:tbl>
    <w:p/>
    <w:tbl>
      <w:tblPr>
        <w:tblW w:type="auto" w:w="0"/>
        <w:tblLayout w:type="autofit"/>
        <w:tblLook w:firstColumn="1" w:firstRow="1" w:lastColumn="0" w:lastRow="0" w:noHBand="0" w:noVBand="1" w:val="04A0"/>
      </w:tblPr>
      <w:tblGrid>
        <w:gridCol w:w="9972"/>
      </w:tblGrid>
      <w:tr>
        <w:tc>
          <w:tcPr>
            <w:tcW w:type="dxa" w:w="9972"/>
            <w:shd w:val="clear" w:color="auto" w:fill="EAF3FF"/>
            <w:tcBorders>
              <w:top w:val="single" w:sz="4" w:color="C8D2E8"/>
              <w:left w:val="single" w:sz="4" w:color="C8D2E8"/>
              <w:bottom w:val="single" w:sz="4" w:color="C8D2E8"/>
              <w:right w:val="single" w:sz="4" w:color="C8D2E8"/>
            </w:tcBorders>
          </w:tcPr>
          <w:p>
            <w:r>
              <w:rPr>
                <w:b/>
                <w:color w:val="0B3D91"/>
                <w:sz w:val="22"/>
              </w:rPr>
              <w:t>At a glance</w:t>
            </w:r>
          </w:p>
          <w:p>
            <w:r>
              <w:rPr>
                <w:b/>
                <w:color w:val="0B3D91"/>
              </w:rPr>
              <w:t xml:space="preserve">• </w:t>
            </w:r>
            <w:r>
              <w:t xml:space="preserve">The </w:t>
            </w:r>
            <w:r>
              <w:rPr>
                <w:b/>
              </w:rPr>
              <w:t>Project Management</w:t>
            </w:r>
            <w:r>
              <w:t xml:space="preserve"> tile lists every project you can see.</w:t>
            </w:r>
          </w:p>
          <w:p>
            <w:r>
              <w:rPr>
                <w:b/>
                <w:color w:val="0B3D91"/>
              </w:rPr>
              <w:t xml:space="preserve">• </w:t>
            </w:r>
            <w:r>
              <w:t xml:space="preserve">Knauf project names follow a pipe-separated pattern, for example </w:t>
            </w:r>
            <w:r>
              <w:rPr>
                <w:rFonts w:ascii="Consolas" w:hAnsi="Consolas"/>
                <w:sz w:val="20"/>
              </w:rPr>
              <w:t>XU | GLO | P4K | Release 2026.1</w:t>
            </w:r>
            <w:r>
              <w:t>.</w:t>
            </w:r>
          </w:p>
          <w:p>
            <w:r>
              <w:rPr>
                <w:b/>
                <w:color w:val="0B3D91"/>
              </w:rPr>
              <w:t xml:space="preserve">• </w:t>
            </w:r>
            <w:r>
              <w:t xml:space="preserve">Use </w:t>
            </w:r>
            <w:r>
              <w:rPr>
                <w:b/>
              </w:rPr>
              <w:t>Search</w:t>
            </w:r>
            <w:r>
              <w:t xml:space="preserve"> (contains-match) to find a project by any name fragment.</w:t>
            </w:r>
          </w:p>
          <w:p>
            <w:r>
              <w:rPr>
                <w:b/>
                <w:color w:val="0B3D91"/>
              </w:rPr>
              <w:t xml:space="preserve">• </w:t>
            </w:r>
            <w:r>
              <w:t xml:space="preserve">The blue </w:t>
            </w:r>
            <w:r>
              <w:rPr>
                <w:b/>
              </w:rPr>
              <w:t>P</w:t>
            </w:r>
            <w:r>
              <w:t xml:space="preserve"> badge next to a project marks a </w:t>
            </w:r>
            <w:r>
              <w:rPr>
                <w:b/>
              </w:rPr>
              <w:t>Proposal</w:t>
            </w:r>
            <w:r>
              <w:t xml:space="preserve"> (not yet approved).</w:t>
            </w:r>
          </w:p>
        </w:tc>
      </w:tr>
    </w:tbl>
    <w:p/>
    <w:p>
      <w:pPr>
        <w:pStyle w:val="Heading2"/>
      </w:pPr>
      <w:r>
        <w:t>Open Project Management</w:t>
      </w:r>
    </w:p>
    <w:p>
      <w:r>
        <w:t xml:space="preserve">Opening the </w:t>
      </w:r>
      <w:r>
        <w:rPr>
          <w:b/>
        </w:rPr>
        <w:t>Project Management</w:t>
      </w:r>
      <w:r>
        <w:t xml:space="preserve"> tile switches you into the consolidated project catalogue (default </w:t>
      </w:r>
      <w:r>
        <w:rPr>
          <w:b/>
        </w:rPr>
        <w:t>Grid</w:t>
      </w:r>
      <w:r>
        <w:t xml:space="preserve"> tab). Along the toolbar you recognise </w:t>
      </w:r>
      <w:r>
        <w:rPr>
          <w:b/>
        </w:rPr>
        <w:t>Create Project</w:t>
      </w:r>
      <w:r>
        <w:t xml:space="preserve">, catalogue actions, global </w:t>
      </w:r>
      <w:r>
        <w:rPr>
          <w:b/>
        </w:rPr>
        <w:t>Search</w:t>
      </w:r>
      <w:r>
        <w:t xml:space="preserve">, quick filters and the </w:t>
      </w:r>
      <w:r>
        <w:rPr>
          <w:b/>
        </w:rPr>
        <w:t>Default</w:t>
      </w:r>
      <w:r>
        <w:t xml:space="preserve"> view chip that opens the Tempus View Manager explained later in this chapter. Rows list every project whose security grants you visibility; compact blue </w:t>
      </w:r>
      <w:r>
        <w:rPr>
          <w:b/>
        </w:rPr>
        <w:t>p</w:t>
      </w:r>
      <w:r>
        <w:t xml:space="preserve"> indicators still mark Proposal records. Below is an embedded excerpt of that grid — narrower than the full monitor capture so your eye stays with the explanatory text. </w:t>
      </w:r>
      <w:r>
        <w:drawing>
          <wp:inline xmlns:a="http://schemas.openxmlformats.org/drawingml/2006/main" xmlns:pic="http://schemas.openxmlformats.org/drawingml/2006/picture">
            <wp:extent cx="3311999" cy="3085593"/>
            <wp:docPr id="6" name="Picture 6"/>
            <wp:cNvGraphicFramePr>
              <a:graphicFrameLocks noChangeAspect="1"/>
            </wp:cNvGraphicFramePr>
            <a:graphic>
              <a:graphicData uri="http://schemas.openxmlformats.org/drawingml/2006/picture">
                <pic:pic>
                  <pic:nvPicPr>
                    <pic:cNvPr id="0" name="qrg_02_project_grid_pmsm.png"/>
                    <pic:cNvPicPr/>
                  </pic:nvPicPr>
                  <pic:blipFill>
                    <a:blip r:embed="rId15"/>
                    <a:stretch>
                      <a:fillRect/>
                    </a:stretch>
                  </pic:blipFill>
                  <pic:spPr>
                    <a:xfrm>
                      <a:off x="0" y="0"/>
                      <a:ext cx="3311999" cy="3085593"/>
                    </a:xfrm>
                    <a:prstGeom prst="rect"/>
                  </pic:spPr>
                </pic:pic>
              </a:graphicData>
            </a:graphic>
          </wp:inline>
        </w:drawing>
      </w:r>
    </w:p>
    <w:p>
      <w:pPr>
        <w:pStyle w:val="Heading2"/>
      </w:pPr>
      <w:r>
        <w:t>Tabs</w:t>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Tab</w:t>
            </w:r>
          </w:p>
        </w:tc>
        <w:tc>
          <w:tcPr>
            <w:tcW w:type="dxa" w:w="4819"/>
            <w:shd w:val="clear" w:color="auto" w:fill="0B3D91"/>
          </w:tcPr>
          <w:p>
            <w:r>
              <w:rPr>
                <w:b/>
                <w:color w:val="FFFFFF"/>
                <w:sz w:val="20"/>
              </w:rPr>
              <w:t>Use it for</w:t>
            </w:r>
          </w:p>
        </w:tc>
      </w:tr>
      <w:tr>
        <w:tc>
          <w:tcPr>
            <w:tcW w:type="dxa" w:w="4819"/>
          </w:tcPr>
          <w:p>
            <w:r>
              <w:rPr>
                <w:b/>
                <w:sz w:val="20"/>
              </w:rPr>
              <w:t>Kanban</w:t>
            </w:r>
          </w:p>
        </w:tc>
        <w:tc>
          <w:tcPr>
            <w:tcW w:type="dxa" w:w="4819"/>
          </w:tcPr>
          <w:p>
            <w:r>
              <w:rPr>
                <w:sz w:val="20"/>
              </w:rPr>
              <w:t>Status-by-status visual board.</w:t>
            </w:r>
          </w:p>
        </w:tc>
      </w:tr>
      <w:tr>
        <w:tc>
          <w:tcPr>
            <w:tcW w:type="dxa" w:w="4819"/>
            <w:shd w:val="clear" w:color="auto" w:fill="F5F7FB"/>
          </w:tcPr>
          <w:p>
            <w:r>
              <w:rPr>
                <w:b/>
                <w:sz w:val="20"/>
              </w:rPr>
              <w:t>Grid</w:t>
            </w:r>
          </w:p>
        </w:tc>
        <w:tc>
          <w:tcPr>
            <w:tcW w:type="dxa" w:w="4819"/>
            <w:shd w:val="clear" w:color="auto" w:fill="F5F7FB"/>
          </w:tcPr>
          <w:p>
            <w:r>
              <w:rPr>
                <w:sz w:val="20"/>
              </w:rPr>
              <w:t xml:space="preserve">Tabular list with filters and grouping. </w:t>
            </w:r>
            <w:r>
              <w:rPr>
                <w:b/>
                <w:sz w:val="20"/>
              </w:rPr>
              <w:t>Default for planners.</w:t>
            </w:r>
          </w:p>
        </w:tc>
      </w:tr>
      <w:tr>
        <w:tc>
          <w:tcPr>
            <w:tcW w:type="dxa" w:w="4819"/>
          </w:tcPr>
          <w:p>
            <w:r>
              <w:rPr>
                <w:b/>
                <w:sz w:val="20"/>
              </w:rPr>
              <w:t>Gantt</w:t>
            </w:r>
          </w:p>
        </w:tc>
        <w:tc>
          <w:tcPr>
            <w:tcW w:type="dxa" w:w="4819"/>
          </w:tcPr>
          <w:p>
            <w:r>
              <w:rPr>
                <w:sz w:val="20"/>
              </w:rPr>
              <w:t>Timeline view across projects.</w:t>
            </w:r>
          </w:p>
        </w:tc>
      </w:tr>
    </w:tbl>
    <w:p/>
    <w:p>
      <w:pPr>
        <w:pStyle w:val="Heading2"/>
      </w:pPr>
      <w:r>
        <w:t>Toolbar</w:t>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Control</w:t>
            </w:r>
          </w:p>
        </w:tc>
        <w:tc>
          <w:tcPr>
            <w:tcW w:type="dxa" w:w="4819"/>
            <w:shd w:val="clear" w:color="auto" w:fill="0B3D91"/>
          </w:tcPr>
          <w:p>
            <w:r>
              <w:rPr>
                <w:b/>
                <w:color w:val="FFFFFF"/>
                <w:sz w:val="20"/>
              </w:rPr>
              <w:t>What it does</w:t>
            </w:r>
          </w:p>
        </w:tc>
      </w:tr>
      <w:tr>
        <w:tc>
          <w:tcPr>
            <w:tcW w:type="dxa" w:w="4819"/>
          </w:tcPr>
          <w:p>
            <w:r>
              <w:rPr>
                <w:b/>
                <w:sz w:val="20"/>
              </w:rPr>
              <w:t>Create Project</w:t>
            </w:r>
            <w:r>
              <w:rPr>
                <w:sz w:val="20"/>
              </w:rPr>
              <w:t xml:space="preserve"> (green)</w:t>
            </w:r>
          </w:p>
        </w:tc>
        <w:tc>
          <w:tcPr>
            <w:tcW w:type="dxa" w:w="4819"/>
          </w:tcPr>
          <w:p>
            <w:r>
              <w:rPr>
                <w:sz w:val="20"/>
              </w:rPr>
              <w:t>Start a new project (PM/SM with rights only).</w:t>
            </w:r>
          </w:p>
        </w:tc>
      </w:tr>
      <w:tr>
        <w:tc>
          <w:tcPr>
            <w:tcW w:type="dxa" w:w="4819"/>
            <w:shd w:val="clear" w:color="auto" w:fill="F5F7FB"/>
          </w:tcPr>
          <w:p>
            <w:r>
              <w:rPr>
                <w:b/>
                <w:sz w:val="20"/>
              </w:rPr>
              <w:t>Excel export</w:t>
            </w:r>
          </w:p>
        </w:tc>
        <w:tc>
          <w:tcPr>
            <w:tcW w:type="dxa" w:w="4819"/>
            <w:shd w:val="clear" w:color="auto" w:fill="F5F7FB"/>
          </w:tcPr>
          <w:p>
            <w:r>
              <w:rPr>
                <w:sz w:val="20"/>
              </w:rPr>
              <w:t>Export the current grid.</w:t>
            </w:r>
          </w:p>
        </w:tc>
      </w:tr>
      <w:tr>
        <w:tc>
          <w:tcPr>
            <w:tcW w:type="dxa" w:w="4819"/>
          </w:tcPr>
          <w:p>
            <w:r>
              <w:rPr>
                <w:b/>
                <w:sz w:val="20"/>
              </w:rPr>
              <w:t>Search</w:t>
            </w:r>
          </w:p>
        </w:tc>
        <w:tc>
          <w:tcPr>
            <w:tcW w:type="dxa" w:w="4819"/>
          </w:tcPr>
          <w:p>
            <w:r>
              <w:rPr>
                <w:sz w:val="20"/>
              </w:rPr>
              <w:t>Free-text search on names.</w:t>
            </w:r>
          </w:p>
        </w:tc>
      </w:tr>
      <w:tr>
        <w:tc>
          <w:tcPr>
            <w:tcW w:type="dxa" w:w="4819"/>
            <w:shd w:val="clear" w:color="auto" w:fill="F5F7FB"/>
          </w:tcPr>
          <w:p>
            <w:r>
              <w:rPr>
                <w:b/>
                <w:sz w:val="20"/>
              </w:rPr>
              <w:t>Filter</w:t>
            </w:r>
          </w:p>
        </w:tc>
        <w:tc>
          <w:tcPr>
            <w:tcW w:type="dxa" w:w="4819"/>
            <w:shd w:val="clear" w:color="auto" w:fill="F5F7FB"/>
          </w:tcPr>
          <w:p>
            <w:r>
              <w:rPr>
                <w:sz w:val="20"/>
              </w:rPr>
              <w:t>Quick filters (attribute-based).</w:t>
            </w:r>
          </w:p>
        </w:tc>
      </w:tr>
      <w:tr>
        <w:tc>
          <w:tcPr>
            <w:tcW w:type="dxa" w:w="4819"/>
          </w:tcPr>
          <w:p>
            <w:r>
              <w:rPr>
                <w:b/>
                <w:sz w:val="20"/>
              </w:rPr>
              <w:t>Columns</w:t>
            </w:r>
          </w:p>
        </w:tc>
        <w:tc>
          <w:tcPr>
            <w:tcW w:type="dxa" w:w="4819"/>
          </w:tcPr>
          <w:p>
            <w:r>
              <w:rPr>
                <w:sz w:val="20"/>
              </w:rPr>
              <w:t>Insert / hide grid columns.</w:t>
            </w:r>
          </w:p>
        </w:tc>
      </w:tr>
      <w:tr>
        <w:tc>
          <w:tcPr>
            <w:tcW w:type="dxa" w:w="4819"/>
            <w:shd w:val="clear" w:color="auto" w:fill="F5F7FB"/>
          </w:tcPr>
          <w:p>
            <w:r>
              <w:rPr>
                <w:b/>
                <w:sz w:val="20"/>
              </w:rPr>
              <w:t>Group by</w:t>
            </w:r>
          </w:p>
        </w:tc>
        <w:tc>
          <w:tcPr>
            <w:tcW w:type="dxa" w:w="4819"/>
            <w:shd w:val="clear" w:color="auto" w:fill="F5F7FB"/>
          </w:tcPr>
          <w:p>
            <w:r>
              <w:rPr>
                <w:sz w:val="20"/>
              </w:rPr>
              <w:t>Group rows by any attribute.</w:t>
            </w:r>
          </w:p>
        </w:tc>
      </w:tr>
      <w:tr>
        <w:tc>
          <w:tcPr>
            <w:tcW w:type="dxa" w:w="4819"/>
          </w:tcPr>
          <w:p>
            <w:r>
              <w:rPr>
                <w:b/>
                <w:sz w:val="20"/>
              </w:rPr>
              <w:t>Default</w:t>
            </w:r>
            <w:r>
              <w:rPr>
                <w:sz w:val="20"/>
              </w:rPr>
              <w:t xml:space="preserve"> view</w:t>
            </w:r>
          </w:p>
        </w:tc>
        <w:tc>
          <w:tcPr>
            <w:tcW w:type="dxa" w:w="4819"/>
          </w:tcPr>
          <w:p>
            <w:r>
              <w:rPr>
                <w:sz w:val="20"/>
              </w:rPr>
              <w:t>Switch between saved / public views.</w:t>
            </w:r>
          </w:p>
        </w:tc>
      </w:tr>
    </w:tbl>
    <w:p/>
    <w:tbl>
      <w:tblPr>
        <w:tblW w:type="auto" w:w="0"/>
        <w:tblLayout w:type="autofit"/>
        <w:tblLook w:firstColumn="1" w:firstRow="1" w:lastColumn="0" w:lastRow="0" w:noHBand="0" w:noVBand="1" w:val="04A0"/>
      </w:tblPr>
      <w:tblGrid>
        <w:gridCol w:w="9972"/>
      </w:tblGrid>
      <w:tr>
        <w:tc>
          <w:tcPr>
            <w:tcW w:type="dxa" w:w="9972"/>
            <w:shd w:val="clear" w:color="auto" w:fill="F5F0FF"/>
            <w:tcBorders>
              <w:top w:val="single" w:sz="4" w:color="C8D2E8"/>
              <w:left w:val="single" w:sz="4" w:color="C8D2E8"/>
              <w:bottom w:val="single" w:sz="4" w:color="C8D2E8"/>
              <w:right w:val="single" w:sz="4" w:color="C8D2E8"/>
            </w:tcBorders>
          </w:tcPr>
          <w:p>
            <w:r>
              <w:rPr>
                <w:b/>
                <w:color w:val="0B3D91"/>
                <w:sz w:val="22"/>
              </w:rPr>
              <w:t>How to</w:t>
            </w:r>
          </w:p>
          <w:p>
            <w:r>
              <w:rPr>
                <w:b/>
                <w:color w:val="0B3D91"/>
              </w:rPr>
              <w:t xml:space="preserve">1. </w:t>
            </w:r>
            <w:r>
              <w:t xml:space="preserve">Open the </w:t>
            </w:r>
            <w:r>
              <w:rPr>
                <w:b/>
              </w:rPr>
              <w:t>Project Management</w:t>
            </w:r>
            <w:r>
              <w:t xml:space="preserve"> tile.</w:t>
            </w:r>
          </w:p>
          <w:p>
            <w:r>
              <w:rPr>
                <w:b/>
                <w:color w:val="0B3D91"/>
              </w:rPr>
              <w:t xml:space="preserve">2. </w:t>
            </w:r>
            <w:r>
              <w:t xml:space="preserve">Type a fragment of the project name into </w:t>
            </w:r>
            <w:r>
              <w:rPr>
                <w:b/>
              </w:rPr>
              <w:t>Search</w:t>
            </w:r>
            <w:r>
              <w:t xml:space="preserve">, for example </w:t>
            </w:r>
            <w:r>
              <w:rPr>
                <w:rFonts w:ascii="Consolas" w:hAnsi="Consolas"/>
                <w:sz w:val="20"/>
              </w:rPr>
              <w:t>P4K</w:t>
            </w:r>
            <w:r>
              <w:t>.</w:t>
            </w:r>
          </w:p>
          <w:p>
            <w:r>
              <w:rPr>
                <w:b/>
                <w:color w:val="0B3D91"/>
              </w:rPr>
              <w:t xml:space="preserve">3. </w:t>
            </w:r>
            <w:r>
              <w:t xml:space="preserve">Click the project name to open it. The project opens in its </w:t>
            </w:r>
            <w:r>
              <w:rPr>
                <w:b/>
              </w:rPr>
              <w:t>Attributes</w:t>
            </w:r>
            <w:r>
              <w:t xml:space="preserve"> view by default.</w:t>
            </w:r>
          </w:p>
          <w:p>
            <w:r>
              <w:rPr>
                <w:b/>
                <w:color w:val="0B3D91"/>
              </w:rPr>
              <w:t xml:space="preserve">4. </w:t>
            </w:r>
            <w:r>
              <w:t xml:space="preserve">Switch to </w:t>
            </w:r>
            <w:r>
              <w:rPr>
                <w:b/>
              </w:rPr>
              <w:t>Allocations</w:t>
            </w:r>
            <w:r>
              <w:t xml:space="preserve">, </w:t>
            </w:r>
            <w:r>
              <w:rPr>
                <w:b/>
              </w:rPr>
              <w:t>Financials</w:t>
            </w:r>
            <w:r>
              <w:t>, etc. via the view selector on the top right.</w:t>
            </w:r>
          </w:p>
        </w:tc>
      </w:tr>
    </w:tbl>
    <w:p/>
    <w:tbl>
      <w:tblPr>
        <w:tblW w:type="auto" w:w="0"/>
        <w:tblLook w:firstColumn="1" w:firstRow="1" w:lastColumn="0" w:lastRow="0" w:noHBand="0" w:noVBand="1" w:val="04A0"/>
      </w:tblPr>
      <w:tblGrid>
        <w:gridCol w:w="9972"/>
      </w:tblGrid>
      <w:tr>
        <w:tc>
          <w:tcPr>
            <w:tcW w:type="dxa" w:w="9972"/>
            <w:shd w:val="clear" w:color="auto" w:fill="EAF1FB"/>
          </w:tcPr>
          <w:p>
            <w:r>
              <w:rPr>
                <w:b/>
                <w:color w:val="0B3D91"/>
              </w:rPr>
              <w:t xml:space="preserve">Note: </w:t>
            </w:r>
            <w:r>
              <w:t>If you cannot find a project that should be there, the most likely reason is project-level security. PM/SM only sees projects where the security group grants access. Ask the project owner or the Tempus admin to add you.</w:t>
            </w:r>
          </w:p>
        </w:tc>
      </w:tr>
    </w:tbl>
    <w:p/>
    <w:p>
      <w:pPr>
        <w:pStyle w:val="Heading2"/>
      </w:pPr>
      <w:r>
        <w:t>Project-Detail View Selector</w:t>
      </w:r>
    </w:p>
    <w:p>
      <w:r>
        <w:t xml:space="preserve">Inside an opened project, the dropdown next to the project name switches between the </w:t>
      </w:r>
      <w:r>
        <w:rPr>
          <w:b/>
        </w:rPr>
        <w:t>views</w:t>
      </w:r>
      <w:r>
        <w:t>. Typical views available to PM/SM:</w:t>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View</w:t>
            </w:r>
          </w:p>
        </w:tc>
        <w:tc>
          <w:tcPr>
            <w:tcW w:type="dxa" w:w="4819"/>
            <w:shd w:val="clear" w:color="auto" w:fill="0B3D91"/>
          </w:tcPr>
          <w:p>
            <w:r>
              <w:rPr>
                <w:b/>
                <w:color w:val="FFFFFF"/>
                <w:sz w:val="20"/>
              </w:rPr>
              <w:t>Purpose</w:t>
            </w:r>
          </w:p>
        </w:tc>
      </w:tr>
      <w:tr>
        <w:tc>
          <w:tcPr>
            <w:tcW w:type="dxa" w:w="4819"/>
          </w:tcPr>
          <w:p>
            <w:r>
              <w:rPr>
                <w:b/>
                <w:sz w:val="20"/>
              </w:rPr>
              <w:t>Attributes</w:t>
            </w:r>
          </w:p>
        </w:tc>
        <w:tc>
          <w:tcPr>
            <w:tcW w:type="dxa" w:w="4819"/>
          </w:tcPr>
          <w:p>
            <w:r>
              <w:rPr>
                <w:sz w:val="20"/>
              </w:rPr>
              <w:t>Master data (intake form, PMO).</w:t>
            </w:r>
          </w:p>
        </w:tc>
      </w:tr>
      <w:tr>
        <w:tc>
          <w:tcPr>
            <w:tcW w:type="dxa" w:w="4819"/>
            <w:shd w:val="clear" w:color="auto" w:fill="F5F7FB"/>
          </w:tcPr>
          <w:p>
            <w:r>
              <w:rPr>
                <w:b/>
                <w:sz w:val="20"/>
              </w:rPr>
              <w:t>Allocations</w:t>
            </w:r>
          </w:p>
        </w:tc>
        <w:tc>
          <w:tcPr>
            <w:tcW w:type="dxa" w:w="4819"/>
            <w:shd w:val="clear" w:color="auto" w:fill="F5F7FB"/>
          </w:tcPr>
          <w:p>
            <w:r>
              <w:rPr>
                <w:sz w:val="20"/>
              </w:rPr>
              <w:t>Resource and labor cost planning.</w:t>
            </w:r>
          </w:p>
        </w:tc>
      </w:tr>
      <w:tr>
        <w:tc>
          <w:tcPr>
            <w:tcW w:type="dxa" w:w="4819"/>
          </w:tcPr>
          <w:p>
            <w:r>
              <w:rPr>
                <w:b/>
                <w:sz w:val="20"/>
              </w:rPr>
              <w:t>Financials</w:t>
            </w:r>
          </w:p>
        </w:tc>
        <w:tc>
          <w:tcPr>
            <w:tcW w:type="dxa" w:w="4819"/>
          </w:tcPr>
          <w:p>
            <w:r>
              <w:rPr>
                <w:sz w:val="20"/>
              </w:rPr>
              <w:t>Non-labor cost lines, planned vs. actual.</w:t>
            </w:r>
          </w:p>
        </w:tc>
      </w:tr>
      <w:tr>
        <w:tc>
          <w:tcPr>
            <w:tcW w:type="dxa" w:w="4819"/>
            <w:shd w:val="clear" w:color="auto" w:fill="F5F7FB"/>
          </w:tcPr>
          <w:p>
            <w:r>
              <w:rPr>
                <w:b/>
                <w:sz w:val="20"/>
              </w:rPr>
              <w:t>Build Team</w:t>
            </w:r>
          </w:p>
        </w:tc>
        <w:tc>
          <w:tcPr>
            <w:tcW w:type="dxa" w:w="4819"/>
            <w:shd w:val="clear" w:color="auto" w:fill="F5F7FB"/>
          </w:tcPr>
          <w:p>
            <w:r>
              <w:rPr>
                <w:sz w:val="20"/>
              </w:rPr>
              <w:t>Replace generic roles with named resources.</w:t>
            </w:r>
          </w:p>
        </w:tc>
      </w:tr>
      <w:tr>
        <w:tc>
          <w:tcPr>
            <w:tcW w:type="dxa" w:w="4819"/>
          </w:tcPr>
          <w:p>
            <w:r>
              <w:rPr>
                <w:b/>
                <w:sz w:val="20"/>
              </w:rPr>
              <w:t>Audit Log</w:t>
            </w:r>
          </w:p>
        </w:tc>
        <w:tc>
          <w:tcPr>
            <w:tcW w:type="dxa" w:w="4819"/>
          </w:tcPr>
          <w:p>
            <w:r>
              <w:rPr>
                <w:sz w:val="20"/>
              </w:rPr>
              <w:t>Project-specific change history.</w:t>
            </w:r>
          </w:p>
        </w:tc>
      </w:tr>
      <w:tr>
        <w:tc>
          <w:tcPr>
            <w:tcW w:type="dxa" w:w="4819"/>
            <w:shd w:val="clear" w:color="auto" w:fill="F5F7FB"/>
          </w:tcPr>
          <w:p>
            <w:r>
              <w:rPr>
                <w:b/>
                <w:sz w:val="20"/>
              </w:rPr>
              <w:t>Files</w:t>
            </w:r>
          </w:p>
        </w:tc>
        <w:tc>
          <w:tcPr>
            <w:tcW w:type="dxa" w:w="4819"/>
            <w:shd w:val="clear" w:color="auto" w:fill="F5F7FB"/>
          </w:tcPr>
          <w:p>
            <w:r>
              <w:rPr>
                <w:sz w:val="20"/>
              </w:rPr>
              <w:t>Attachments.</w:t>
            </w:r>
          </w:p>
        </w:tc>
      </w:tr>
    </w:tbl>
    <w:p/>
    <w:p>
      <w:pPr>
        <w:pStyle w:val="Heading2"/>
      </w:pPr>
      <w:r>
        <w:t>Managing Grid Views</w:t>
      </w:r>
    </w:p>
    <w:p>
      <w:r>
        <w:t xml:space="preserve">Every grid (Project Management, Resource Management, Allocations, Financials, etc.) has its own list of </w:t>
      </w:r>
      <w:r>
        <w:rPr>
          <w:b/>
        </w:rPr>
        <w:t>views</w:t>
      </w:r>
      <w:r>
        <w:t xml:space="preserve"> that you can save, share, and switch between. Open the view dropdown via the </w:t>
      </w:r>
      <w:r>
        <w:rPr>
          <w:b/>
        </w:rPr>
        <w:t>Default</w:t>
      </w:r>
      <w:r>
        <w:t xml:space="preserve"> button on the top right of the toolbar.</w:t>
      </w:r>
    </w:p>
    <w:tbl>
      <w:tblPr>
        <w:tblW w:type="auto" w:w="0"/>
        <w:tblLook w:firstColumn="1" w:firstRow="1" w:lastColumn="0" w:lastRow="0" w:noHBand="0" w:noVBand="1" w:val="04A0"/>
      </w:tblPr>
      <w:tblGrid>
        <w:gridCol w:w="9972"/>
      </w:tblGrid>
      <w:tr>
        <w:tc>
          <w:tcPr>
            <w:tcW w:type="dxa" w:w="9972"/>
            <w:shd w:val="clear" w:color="auto" w:fill="FFF8DC"/>
            <w:tcBorders>
              <w:top w:val="single" w:sz="4" w:color="F2B807"/>
              <w:left w:val="single" w:sz="4" w:color="F2B807"/>
              <w:bottom w:val="single" w:sz="4" w:color="F2B807"/>
              <w:right w:val="single" w:sz="4" w:color="F2B807"/>
            </w:tcBorders>
          </w:tcPr>
          <w:p>
            <w:pPr>
              <w:jc w:val="center"/>
            </w:pPr>
            <w:r>
              <w:drawing>
                <wp:inline xmlns:a="http://schemas.openxmlformats.org/drawingml/2006/main" xmlns:pic="http://schemas.openxmlformats.org/drawingml/2006/picture">
                  <wp:extent cx="3524250" cy="2286000"/>
                  <wp:docPr id="7" name="Picture 7"/>
                  <wp:cNvGraphicFramePr>
                    <a:graphicFrameLocks noChangeAspect="1"/>
                  </wp:cNvGraphicFramePr>
                  <a:graphic>
                    <a:graphicData uri="http://schemas.openxmlformats.org/drawingml/2006/picture">
                      <pic:pic>
                        <pic:nvPicPr>
                          <pic:cNvPr id="0" name="chrome_create_view_dropdown.png"/>
                          <pic:cNvPicPr/>
                        </pic:nvPicPr>
                        <pic:blipFill>
                          <a:blip r:embed="rId16"/>
                          <a:stretch>
                            <a:fillRect/>
                          </a:stretch>
                        </pic:blipFill>
                        <pic:spPr>
                          <a:xfrm>
                            <a:off x="0" y="0"/>
                            <a:ext cx="3524250" cy="2286000"/>
                          </a:xfrm>
                          <a:prstGeom prst="rect"/>
                        </pic:spPr>
                      </pic:pic>
                    </a:graphicData>
                  </a:graphic>
                </wp:inline>
              </w:drawing>
            </w:r>
          </w:p>
          <w:p>
            <w:pPr>
              <w:jc w:val="center"/>
            </w:pPr>
            <w:r>
              <w:rPr>
                <w:i/>
                <w:color w:val="3A3A3A"/>
                <w:sz w:val="18"/>
              </w:rPr>
              <w:t>The View Manager dropdown. Top row shows your editable Default layout; public Knauf presets appear underneath with clone-only tooling.</w:t>
            </w:r>
          </w:p>
        </w:tc>
      </w:tr>
    </w:tbl>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Icon</w:t>
            </w:r>
          </w:p>
        </w:tc>
        <w:tc>
          <w:tcPr>
            <w:tcW w:type="dxa" w:w="4819"/>
            <w:shd w:val="clear" w:color="auto" w:fill="0B3D91"/>
          </w:tcPr>
          <w:p>
            <w:r>
              <w:rPr>
                <w:b/>
                <w:color w:val="FFFFFF"/>
                <w:sz w:val="20"/>
              </w:rPr>
              <w:t>Meaning</w:t>
            </w:r>
          </w:p>
        </w:tc>
      </w:tr>
      <w:tr>
        <w:tc>
          <w:tcPr>
            <w:tcW w:type="dxa" w:w="4819"/>
          </w:tcPr>
          <w:p>
            <w:r>
              <w:rPr>
                <w:sz w:val="20"/>
              </w:rPr>
              <w:drawing>
                <wp:inline xmlns:a="http://schemas.openxmlformats.org/drawingml/2006/main" xmlns:pic="http://schemas.openxmlformats.org/drawingml/2006/picture">
                  <wp:extent cx="94129" cy="152400"/>
                  <wp:docPr id="8" name="Picture 8"/>
                  <wp:cNvGraphicFramePr>
                    <a:graphicFrameLocks noChangeAspect="1"/>
                  </wp:cNvGraphicFramePr>
                  <a:graphic>
                    <a:graphicData uri="http://schemas.openxmlformats.org/drawingml/2006/picture">
                      <pic:pic>
                        <pic:nvPicPr>
                          <pic:cNvPr id="0" name="icon_drag_handle.png"/>
                          <pic:cNvPicPr/>
                        </pic:nvPicPr>
                        <pic:blipFill>
                          <a:blip r:embed="rId17"/>
                          <a:stretch>
                            <a:fillRect/>
                          </a:stretch>
                        </pic:blipFill>
                        <pic:spPr>
                          <a:xfrm>
                            <a:off x="0" y="0"/>
                            <a:ext cx="94129" cy="152400"/>
                          </a:xfrm>
                          <a:prstGeom prst="rect"/>
                        </pic:spPr>
                      </pic:pic>
                    </a:graphicData>
                  </a:graphic>
                </wp:inline>
              </w:drawing>
            </w:r>
          </w:p>
        </w:tc>
        <w:tc>
          <w:tcPr>
            <w:tcW w:type="dxa" w:w="4819"/>
          </w:tcPr>
          <w:p>
            <w:r>
              <w:rPr>
                <w:sz w:val="20"/>
              </w:rPr>
              <w:t>Drag handle - reorder views by drag-and-drop.</w:t>
            </w:r>
          </w:p>
        </w:tc>
      </w:tr>
      <w:tr>
        <w:tc>
          <w:tcPr>
            <w:tcW w:type="dxa" w:w="4819"/>
            <w:shd w:val="clear" w:color="auto" w:fill="F5F7FB"/>
          </w:tcPr>
          <w:p>
            <w:r>
              <w:rPr>
                <w:sz w:val="20"/>
              </w:rPr>
              <w:drawing>
                <wp:inline xmlns:a="http://schemas.openxmlformats.org/drawingml/2006/main" xmlns:pic="http://schemas.openxmlformats.org/drawingml/2006/picture">
                  <wp:extent cx="152400" cy="152400"/>
                  <wp:docPr id="9" name="Picture 9"/>
                  <wp:cNvGraphicFramePr>
                    <a:graphicFrameLocks noChangeAspect="1"/>
                  </wp:cNvGraphicFramePr>
                  <a:graphic>
                    <a:graphicData uri="http://schemas.openxmlformats.org/drawingml/2006/picture">
                      <pic:pic>
                        <pic:nvPicPr>
                          <pic:cNvPr id="0" name="icon_lock.png"/>
                          <pic:cNvPicPr/>
                        </pic:nvPicPr>
                        <pic:blipFill>
                          <a:blip r:embed="rId18"/>
                          <a:stretch>
                            <a:fillRect/>
                          </a:stretch>
                        </pic:blipFill>
                        <pic:spPr>
                          <a:xfrm>
                            <a:off x="0" y="0"/>
                            <a:ext cx="152400" cy="152400"/>
                          </a:xfrm>
                          <a:prstGeom prst="rect"/>
                        </pic:spPr>
                      </pic:pic>
                    </a:graphicData>
                  </a:graphic>
                </wp:inline>
              </w:drawing>
            </w:r>
          </w:p>
        </w:tc>
        <w:tc>
          <w:tcPr>
            <w:tcW w:type="dxa" w:w="4819"/>
            <w:shd w:val="clear" w:color="auto" w:fill="F5F7FB"/>
          </w:tcPr>
          <w:p>
            <w:r>
              <w:rPr>
                <w:b/>
                <w:sz w:val="20"/>
              </w:rPr>
              <w:t>Lock</w:t>
            </w:r>
            <w:r>
              <w:rPr>
                <w:sz w:val="20"/>
              </w:rPr>
              <w:t xml:space="preserve"> a view in its current state. Locked views ignore any changes you make (filters, columns, etc.). Useful for reference views you do not want to disturb.</w:t>
            </w:r>
          </w:p>
        </w:tc>
      </w:tr>
      <w:tr>
        <w:tc>
          <w:tcPr>
            <w:tcW w:type="dxa" w:w="4819"/>
          </w:tcPr>
          <w:p>
            <w:r>
              <w:rPr>
                <w:sz w:val="20"/>
              </w:rPr>
              <w:drawing>
                <wp:inline xmlns:a="http://schemas.openxmlformats.org/drawingml/2006/main" xmlns:pic="http://schemas.openxmlformats.org/drawingml/2006/picture">
                  <wp:extent cx="112059" cy="152400"/>
                  <wp:docPr id="10" name="Picture 10"/>
                  <wp:cNvGraphicFramePr>
                    <a:graphicFrameLocks noChangeAspect="1"/>
                  </wp:cNvGraphicFramePr>
                  <a:graphic>
                    <a:graphicData uri="http://schemas.openxmlformats.org/drawingml/2006/picture">
                      <pic:pic>
                        <pic:nvPicPr>
                          <pic:cNvPr id="0" name="icon_default_star_filled.png"/>
                          <pic:cNvPicPr/>
                        </pic:nvPicPr>
                        <pic:blipFill>
                          <a:blip r:embed="rId19"/>
                          <a:stretch>
                            <a:fillRect/>
                          </a:stretch>
                        </pic:blipFill>
                        <pic:spPr>
                          <a:xfrm>
                            <a:off x="0" y="0"/>
                            <a:ext cx="112059" cy="152400"/>
                          </a:xfrm>
                          <a:prstGeom prst="rect"/>
                        </pic:spPr>
                      </pic:pic>
                    </a:graphicData>
                  </a:graphic>
                </wp:inline>
              </w:drawing>
            </w:r>
          </w:p>
        </w:tc>
        <w:tc>
          <w:tcPr>
            <w:tcW w:type="dxa" w:w="4819"/>
          </w:tcPr>
          <w:p>
            <w:r>
              <w:rPr>
                <w:b/>
                <w:sz w:val="20"/>
              </w:rPr>
              <w:t>Default</w:t>
            </w:r>
            <w:r>
              <w:rPr>
                <w:sz w:val="20"/>
              </w:rPr>
              <w:t xml:space="preserve"> view - opens automatically when you enter the screen. Click an outline star </w:t>
            </w:r>
            <w:r>
              <w:rPr>
                <w:sz w:val="20"/>
              </w:rPr>
              <w:drawing>
                <wp:inline xmlns:a="http://schemas.openxmlformats.org/drawingml/2006/main" xmlns:pic="http://schemas.openxmlformats.org/drawingml/2006/picture">
                  <wp:extent cx="112059" cy="152400"/>
                  <wp:docPr id="11" name="Picture 11"/>
                  <wp:cNvGraphicFramePr>
                    <a:graphicFrameLocks noChangeAspect="1"/>
                  </wp:cNvGraphicFramePr>
                  <a:graphic>
                    <a:graphicData uri="http://schemas.openxmlformats.org/drawingml/2006/picture">
                      <pic:pic>
                        <pic:nvPicPr>
                          <pic:cNvPr id="0" name="icon_default_star_outline.png"/>
                          <pic:cNvPicPr/>
                        </pic:nvPicPr>
                        <pic:blipFill>
                          <a:blip r:embed="rId20"/>
                          <a:stretch>
                            <a:fillRect/>
                          </a:stretch>
                        </pic:blipFill>
                        <pic:spPr>
                          <a:xfrm>
                            <a:off x="0" y="0"/>
                            <a:ext cx="112059" cy="152400"/>
                          </a:xfrm>
                          <a:prstGeom prst="rect"/>
                        </pic:spPr>
                      </pic:pic>
                    </a:graphicData>
                  </a:graphic>
                </wp:inline>
              </w:drawing>
            </w:r>
            <w:r>
              <w:rPr>
                <w:sz w:val="20"/>
              </w:rPr>
              <w:t xml:space="preserve"> on another view to make it your default.</w:t>
            </w:r>
          </w:p>
        </w:tc>
      </w:tr>
      <w:tr>
        <w:tc>
          <w:tcPr>
            <w:tcW w:type="dxa" w:w="4819"/>
            <w:shd w:val="clear" w:color="auto" w:fill="F5F7FB"/>
          </w:tcPr>
          <w:p>
            <w:r>
              <w:rPr>
                <w:sz w:val="20"/>
              </w:rPr>
              <w:drawing>
                <wp:inline xmlns:a="http://schemas.openxmlformats.org/drawingml/2006/main" xmlns:pic="http://schemas.openxmlformats.org/drawingml/2006/picture">
                  <wp:extent cx="129988" cy="152400"/>
                  <wp:docPr id="12" name="Picture 12"/>
                  <wp:cNvGraphicFramePr>
                    <a:graphicFrameLocks noChangeAspect="1"/>
                  </wp:cNvGraphicFramePr>
                  <a:graphic>
                    <a:graphicData uri="http://schemas.openxmlformats.org/drawingml/2006/picture">
                      <pic:pic>
                        <pic:nvPicPr>
                          <pic:cNvPr id="0" name="icon_edit_pencil.png"/>
                          <pic:cNvPicPr/>
                        </pic:nvPicPr>
                        <pic:blipFill>
                          <a:blip r:embed="rId21"/>
                          <a:stretch>
                            <a:fillRect/>
                          </a:stretch>
                        </pic:blipFill>
                        <pic:spPr>
                          <a:xfrm>
                            <a:off x="0" y="0"/>
                            <a:ext cx="129988" cy="152400"/>
                          </a:xfrm>
                          <a:prstGeom prst="rect"/>
                        </pic:spPr>
                      </pic:pic>
                    </a:graphicData>
                  </a:graphic>
                </wp:inline>
              </w:drawing>
            </w:r>
          </w:p>
        </w:tc>
        <w:tc>
          <w:tcPr>
            <w:tcW w:type="dxa" w:w="4819"/>
            <w:shd w:val="clear" w:color="auto" w:fill="F5F7FB"/>
          </w:tcPr>
          <w:p>
            <w:r>
              <w:rPr>
                <w:b/>
                <w:sz w:val="20"/>
              </w:rPr>
              <w:t>Edit</w:t>
            </w:r>
            <w:r>
              <w:rPr>
                <w:sz w:val="20"/>
              </w:rPr>
              <w:t xml:space="preserve"> the view name. Provide a new name and confirm with the green checkmark.</w:t>
            </w:r>
          </w:p>
        </w:tc>
      </w:tr>
      <w:tr>
        <w:tc>
          <w:tcPr>
            <w:tcW w:type="dxa" w:w="4819"/>
          </w:tcPr>
          <w:p>
            <w:r>
              <w:rPr>
                <w:sz w:val="20"/>
              </w:rPr>
              <w:drawing>
                <wp:inline xmlns:a="http://schemas.openxmlformats.org/drawingml/2006/main" xmlns:pic="http://schemas.openxmlformats.org/drawingml/2006/picture">
                  <wp:extent cx="129988" cy="152400"/>
                  <wp:docPr id="13" name="Picture 13"/>
                  <wp:cNvGraphicFramePr>
                    <a:graphicFrameLocks noChangeAspect="1"/>
                  </wp:cNvGraphicFramePr>
                  <a:graphic>
                    <a:graphicData uri="http://schemas.openxmlformats.org/drawingml/2006/picture">
                      <pic:pic>
                        <pic:nvPicPr>
                          <pic:cNvPr id="0" name="icon_clone.png"/>
                          <pic:cNvPicPr/>
                        </pic:nvPicPr>
                        <pic:blipFill>
                          <a:blip r:embed="rId22"/>
                          <a:stretch>
                            <a:fillRect/>
                          </a:stretch>
                        </pic:blipFill>
                        <pic:spPr>
                          <a:xfrm>
                            <a:off x="0" y="0"/>
                            <a:ext cx="129988" cy="152400"/>
                          </a:xfrm>
                          <a:prstGeom prst="rect"/>
                        </pic:spPr>
                      </pic:pic>
                    </a:graphicData>
                  </a:graphic>
                </wp:inline>
              </w:drawing>
            </w:r>
          </w:p>
        </w:tc>
        <w:tc>
          <w:tcPr>
            <w:tcW w:type="dxa" w:w="4819"/>
          </w:tcPr>
          <w:p>
            <w:r>
              <w:rPr>
                <w:b/>
                <w:sz w:val="20"/>
              </w:rPr>
              <w:t>Clone</w:t>
            </w:r>
            <w:r>
              <w:rPr>
                <w:sz w:val="20"/>
              </w:rPr>
              <w:t xml:space="preserve"> the view. Creates a copy you can freely edit (the safe way to use a public view).</w:t>
            </w:r>
          </w:p>
        </w:tc>
      </w:tr>
      <w:tr>
        <w:tc>
          <w:tcPr>
            <w:tcW w:type="dxa" w:w="4819"/>
            <w:shd w:val="clear" w:color="auto" w:fill="F5F7FB"/>
          </w:tcPr>
          <w:p>
            <w:r>
              <w:rPr>
                <w:sz w:val="20"/>
              </w:rPr>
              <w:drawing>
                <wp:inline xmlns:a="http://schemas.openxmlformats.org/drawingml/2006/main" xmlns:pic="http://schemas.openxmlformats.org/drawingml/2006/picture">
                  <wp:extent cx="129988" cy="152400"/>
                  <wp:docPr id="14" name="Picture 14"/>
                  <wp:cNvGraphicFramePr>
                    <a:graphicFrameLocks noChangeAspect="1"/>
                  </wp:cNvGraphicFramePr>
                  <a:graphic>
                    <a:graphicData uri="http://schemas.openxmlformats.org/drawingml/2006/picture">
                      <pic:pic>
                        <pic:nvPicPr>
                          <pic:cNvPr id="0" name="icon_delete_trash.png"/>
                          <pic:cNvPicPr/>
                        </pic:nvPicPr>
                        <pic:blipFill>
                          <a:blip r:embed="rId23"/>
                          <a:stretch>
                            <a:fillRect/>
                          </a:stretch>
                        </pic:blipFill>
                        <pic:spPr>
                          <a:xfrm>
                            <a:off x="0" y="0"/>
                            <a:ext cx="129988" cy="152400"/>
                          </a:xfrm>
                          <a:prstGeom prst="rect"/>
                        </pic:spPr>
                      </pic:pic>
                    </a:graphicData>
                  </a:graphic>
                </wp:inline>
              </w:drawing>
            </w:r>
          </w:p>
        </w:tc>
        <w:tc>
          <w:tcPr>
            <w:tcW w:type="dxa" w:w="4819"/>
            <w:shd w:val="clear" w:color="auto" w:fill="F5F7FB"/>
          </w:tcPr>
          <w:p>
            <w:r>
              <w:rPr>
                <w:b/>
                <w:sz w:val="20"/>
              </w:rPr>
              <w:t>Delete</w:t>
            </w:r>
            <w:r>
              <w:rPr>
                <w:sz w:val="20"/>
              </w:rPr>
              <w:t xml:space="preserve"> the view. Only your own private views can be deleted.</w:t>
            </w:r>
          </w:p>
        </w:tc>
      </w:tr>
      <w:tr>
        <w:tc>
          <w:tcPr>
            <w:tcW w:type="dxa" w:w="4819"/>
          </w:tcPr>
          <w:p>
            <w:r>
              <w:rPr>
                <w:sz w:val="20"/>
              </w:rPr>
              <w:drawing>
                <wp:inline xmlns:a="http://schemas.openxmlformats.org/drawingml/2006/main" xmlns:pic="http://schemas.openxmlformats.org/drawingml/2006/picture">
                  <wp:extent cx="152400" cy="152400"/>
                  <wp:docPr id="15" name="Picture 15"/>
                  <wp:cNvGraphicFramePr>
                    <a:graphicFrameLocks noChangeAspect="1"/>
                  </wp:cNvGraphicFramePr>
                  <a:graphic>
                    <a:graphicData uri="http://schemas.openxmlformats.org/drawingml/2006/picture">
                      <pic:pic>
                        <pic:nvPicPr>
                          <pic:cNvPr id="0" name="icon_public_eye.png"/>
                          <pic:cNvPicPr/>
                        </pic:nvPicPr>
                        <pic:blipFill>
                          <a:blip r:embed="rId24"/>
                          <a:stretch>
                            <a:fillRect/>
                          </a:stretch>
                        </pic:blipFill>
                        <pic:spPr>
                          <a:xfrm>
                            <a:off x="0" y="0"/>
                            <a:ext cx="152400" cy="152400"/>
                          </a:xfrm>
                          <a:prstGeom prst="rect"/>
                        </pic:spPr>
                      </pic:pic>
                    </a:graphicData>
                  </a:graphic>
                </wp:inline>
              </w:drawing>
            </w:r>
          </w:p>
        </w:tc>
        <w:tc>
          <w:tcPr>
            <w:tcW w:type="dxa" w:w="4819"/>
          </w:tcPr>
          <w:p>
            <w:r>
              <w:rPr>
                <w:b/>
                <w:sz w:val="20"/>
              </w:rPr>
              <w:t>Public view</w:t>
            </w:r>
            <w:r>
              <w:rPr>
                <w:sz w:val="20"/>
              </w:rPr>
              <w:t xml:space="preserve"> - administratively shared. Cannot be edited or deleted, only cloned.</w:t>
            </w:r>
          </w:p>
        </w:tc>
      </w:tr>
    </w:tbl>
    <w:p/>
    <w:tbl>
      <w:tblPr>
        <w:tblW w:type="auto" w:w="0"/>
        <w:tblLook w:firstColumn="1" w:firstRow="1" w:lastColumn="0" w:lastRow="0" w:noHBand="0" w:noVBand="1" w:val="04A0"/>
      </w:tblPr>
      <w:tblGrid>
        <w:gridCol w:w="9972"/>
      </w:tblGrid>
      <w:tr>
        <w:tc>
          <w:tcPr>
            <w:tcW w:type="dxa" w:w="9972"/>
            <w:shd w:val="clear" w:color="auto" w:fill="EAF7EE"/>
          </w:tcPr>
          <w:p>
            <w:r>
              <w:rPr>
                <w:b/>
                <w:color w:val="1E7A3C"/>
              </w:rPr>
              <w:t xml:space="preserve">Tip: </w:t>
            </w:r>
            <w:r>
              <w:t xml:space="preserve">Public views (with the </w:t>
            </w:r>
            <w:r>
              <w:drawing>
                <wp:inline xmlns:a="http://schemas.openxmlformats.org/drawingml/2006/main" xmlns:pic="http://schemas.openxmlformats.org/drawingml/2006/picture">
                  <wp:extent cx="152400" cy="152400"/>
                  <wp:docPr id="16" name="Picture 16"/>
                  <wp:cNvGraphicFramePr>
                    <a:graphicFrameLocks noChangeAspect="1"/>
                  </wp:cNvGraphicFramePr>
                  <a:graphic>
                    <a:graphicData uri="http://schemas.openxmlformats.org/drawingml/2006/picture">
                      <pic:pic>
                        <pic:nvPicPr>
                          <pic:cNvPr id="0" name="icon_public_eye.png"/>
                          <pic:cNvPicPr/>
                        </pic:nvPicPr>
                        <pic:blipFill>
                          <a:blip r:embed="rId24"/>
                          <a:stretch>
                            <a:fillRect/>
                          </a:stretch>
                        </pic:blipFill>
                        <pic:spPr>
                          <a:xfrm>
                            <a:off x="0" y="0"/>
                            <a:ext cx="152400" cy="152400"/>
                          </a:xfrm>
                          <a:prstGeom prst="rect"/>
                        </pic:spPr>
                      </pic:pic>
                    </a:graphicData>
                  </a:graphic>
                </wp:inline>
              </w:drawing>
            </w:r>
            <w:r>
              <w:t xml:space="preserve"> eye) are managed centrally by Knauf's Tempus admins. Always clone </w:t>
            </w:r>
            <w:r>
              <w:drawing>
                <wp:inline xmlns:a="http://schemas.openxmlformats.org/drawingml/2006/main" xmlns:pic="http://schemas.openxmlformats.org/drawingml/2006/picture">
                  <wp:extent cx="129988" cy="152400"/>
                  <wp:docPr id="17" name="Picture 17"/>
                  <wp:cNvGraphicFramePr>
                    <a:graphicFrameLocks noChangeAspect="1"/>
                  </wp:cNvGraphicFramePr>
                  <a:graphic>
                    <a:graphicData uri="http://schemas.openxmlformats.org/drawingml/2006/picture">
                      <pic:pic>
                        <pic:nvPicPr>
                          <pic:cNvPr id="0" name="icon_clone.png"/>
                          <pic:cNvPicPr/>
                        </pic:nvPicPr>
                        <pic:blipFill>
                          <a:blip r:embed="rId22"/>
                          <a:stretch>
                            <a:fillRect/>
                          </a:stretch>
                        </pic:blipFill>
                        <pic:spPr>
                          <a:xfrm>
                            <a:off x="0" y="0"/>
                            <a:ext cx="129988" cy="152400"/>
                          </a:xfrm>
                          <a:prstGeom prst="rect"/>
                        </pic:spPr>
                      </pic:pic>
                    </a:graphicData>
                  </a:graphic>
                </wp:inline>
              </w:drawing>
            </w:r>
            <w:r>
              <w:t xml:space="preserve"> them before changing anything - your edits stay in the cloned copy.</w:t>
            </w:r>
          </w:p>
        </w:tc>
      </w:tr>
    </w:tbl>
    <w:p/>
    <w:tbl>
      <w:tblPr>
        <w:tblW w:type="auto" w:w="0"/>
        <w:tblLayout w:type="autofit"/>
        <w:tblLook w:firstColumn="1" w:firstRow="1" w:lastColumn="0" w:lastRow="0" w:noHBand="0" w:noVBand="1" w:val="04A0"/>
      </w:tblPr>
      <w:tblGrid>
        <w:gridCol w:w="9972"/>
      </w:tblGrid>
      <w:tr>
        <w:tc>
          <w:tcPr>
            <w:tcW w:type="dxa" w:w="9972"/>
            <w:shd w:val="clear" w:color="auto" w:fill="F5F0FF"/>
            <w:tcBorders>
              <w:top w:val="single" w:sz="4" w:color="C8D2E8"/>
              <w:left w:val="single" w:sz="4" w:color="C8D2E8"/>
              <w:bottom w:val="single" w:sz="4" w:color="C8D2E8"/>
              <w:right w:val="single" w:sz="4" w:color="C8D2E8"/>
            </w:tcBorders>
          </w:tcPr>
          <w:p>
            <w:r>
              <w:rPr>
                <w:b/>
                <w:color w:val="0B3D91"/>
                <w:sz w:val="22"/>
              </w:rPr>
              <w:t>How to</w:t>
            </w:r>
          </w:p>
          <w:p>
            <w:r>
              <w:rPr>
                <w:b/>
                <w:color w:val="0B3D91"/>
              </w:rPr>
              <w:t xml:space="preserve">1. </w:t>
            </w:r>
            <w:r>
              <w:t xml:space="preserve">Open any grid (for example </w:t>
            </w:r>
            <w:r>
              <w:rPr>
                <w:b/>
              </w:rPr>
              <w:t>Project Management</w:t>
            </w:r>
            <w:r>
              <w:t>).</w:t>
            </w:r>
          </w:p>
          <w:p>
            <w:r>
              <w:rPr>
                <w:b/>
                <w:color w:val="0B3D91"/>
              </w:rPr>
              <w:t xml:space="preserve">2. </w:t>
            </w:r>
            <w:r>
              <w:t xml:space="preserve">Click the </w:t>
            </w:r>
            <w:r>
              <w:rPr>
                <w:b/>
              </w:rPr>
              <w:t>Default</w:t>
            </w:r>
            <w:r>
              <w:t xml:space="preserve"> view button to open the dropdown shown above.</w:t>
            </w:r>
          </w:p>
          <w:p>
            <w:r>
              <w:rPr>
                <w:b/>
                <w:color w:val="0B3D91"/>
              </w:rPr>
              <w:t xml:space="preserve">3. </w:t>
            </w:r>
            <w:r>
              <w:t xml:space="preserve">Click </w:t>
            </w:r>
            <w:r>
              <w:drawing>
                <wp:inline xmlns:a="http://schemas.openxmlformats.org/drawingml/2006/main" xmlns:pic="http://schemas.openxmlformats.org/drawingml/2006/picture">
                  <wp:extent cx="129988" cy="152400"/>
                  <wp:docPr id="18" name="Picture 18"/>
                  <wp:cNvGraphicFramePr>
                    <a:graphicFrameLocks noChangeAspect="1"/>
                  </wp:cNvGraphicFramePr>
                  <a:graphic>
                    <a:graphicData uri="http://schemas.openxmlformats.org/drawingml/2006/picture">
                      <pic:pic>
                        <pic:nvPicPr>
                          <pic:cNvPr id="0" name="icon_clone.png"/>
                          <pic:cNvPicPr/>
                        </pic:nvPicPr>
                        <pic:blipFill>
                          <a:blip r:embed="rId22"/>
                          <a:stretch>
                            <a:fillRect/>
                          </a:stretch>
                        </pic:blipFill>
                        <pic:spPr>
                          <a:xfrm>
                            <a:off x="0" y="0"/>
                            <a:ext cx="129988" cy="152400"/>
                          </a:xfrm>
                          <a:prstGeom prst="rect"/>
                        </pic:spPr>
                      </pic:pic>
                    </a:graphicData>
                  </a:graphic>
                </wp:inline>
              </w:drawing>
            </w:r>
            <w:r>
              <w:t xml:space="preserve"> next to a public view if you want a personal copy.</w:t>
            </w:r>
          </w:p>
          <w:p>
            <w:r>
              <w:rPr>
                <w:b/>
                <w:color w:val="0B3D91"/>
              </w:rPr>
              <w:t xml:space="preserve">4. </w:t>
            </w:r>
            <w:r>
              <w:t>Click into the new view, change filters / columns / grouping, and changes save automatically.</w:t>
            </w:r>
          </w:p>
          <w:p>
            <w:r>
              <w:rPr>
                <w:b/>
                <w:color w:val="0B3D91"/>
              </w:rPr>
              <w:t xml:space="preserve">5. </w:t>
            </w:r>
            <w:r>
              <w:t xml:space="preserve">Optionally click </w:t>
            </w:r>
            <w:r>
              <w:drawing>
                <wp:inline xmlns:a="http://schemas.openxmlformats.org/drawingml/2006/main" xmlns:pic="http://schemas.openxmlformats.org/drawingml/2006/picture">
                  <wp:extent cx="129988" cy="152400"/>
                  <wp:docPr id="19" name="Picture 19"/>
                  <wp:cNvGraphicFramePr>
                    <a:graphicFrameLocks noChangeAspect="1"/>
                  </wp:cNvGraphicFramePr>
                  <a:graphic>
                    <a:graphicData uri="http://schemas.openxmlformats.org/drawingml/2006/picture">
                      <pic:pic>
                        <pic:nvPicPr>
                          <pic:cNvPr id="0" name="icon_edit_pencil.png"/>
                          <pic:cNvPicPr/>
                        </pic:nvPicPr>
                        <pic:blipFill>
                          <a:blip r:embed="rId21"/>
                          <a:stretch>
                            <a:fillRect/>
                          </a:stretch>
                        </pic:blipFill>
                        <pic:spPr>
                          <a:xfrm>
                            <a:off x="0" y="0"/>
                            <a:ext cx="129988" cy="152400"/>
                          </a:xfrm>
                          <a:prstGeom prst="rect"/>
                        </pic:spPr>
                      </pic:pic>
                    </a:graphicData>
                  </a:graphic>
                </wp:inline>
              </w:drawing>
            </w:r>
            <w:r>
              <w:t xml:space="preserve"> to rename, </w:t>
            </w:r>
            <w:r>
              <w:drawing>
                <wp:inline xmlns:a="http://schemas.openxmlformats.org/drawingml/2006/main" xmlns:pic="http://schemas.openxmlformats.org/drawingml/2006/picture">
                  <wp:extent cx="112059" cy="152400"/>
                  <wp:docPr id="20" name="Picture 20"/>
                  <wp:cNvGraphicFramePr>
                    <a:graphicFrameLocks noChangeAspect="1"/>
                  </wp:cNvGraphicFramePr>
                  <a:graphic>
                    <a:graphicData uri="http://schemas.openxmlformats.org/drawingml/2006/picture">
                      <pic:pic>
                        <pic:nvPicPr>
                          <pic:cNvPr id="0" name="icon_default_star_outline.png"/>
                          <pic:cNvPicPr/>
                        </pic:nvPicPr>
                        <pic:blipFill>
                          <a:blip r:embed="rId20"/>
                          <a:stretch>
                            <a:fillRect/>
                          </a:stretch>
                        </pic:blipFill>
                        <pic:spPr>
                          <a:xfrm>
                            <a:off x="0" y="0"/>
                            <a:ext cx="112059" cy="152400"/>
                          </a:xfrm>
                          <a:prstGeom prst="rect"/>
                        </pic:spPr>
                      </pic:pic>
                    </a:graphicData>
                  </a:graphic>
                </wp:inline>
              </w:drawing>
            </w:r>
            <w:r>
              <w:t xml:space="preserve"> to set as default, or </w:t>
            </w:r>
            <w:r>
              <w:drawing>
                <wp:inline xmlns:a="http://schemas.openxmlformats.org/drawingml/2006/main" xmlns:pic="http://schemas.openxmlformats.org/drawingml/2006/picture">
                  <wp:extent cx="152400" cy="152400"/>
                  <wp:docPr id="21" name="Picture 21"/>
                  <wp:cNvGraphicFramePr>
                    <a:graphicFrameLocks noChangeAspect="1"/>
                  </wp:cNvGraphicFramePr>
                  <a:graphic>
                    <a:graphicData uri="http://schemas.openxmlformats.org/drawingml/2006/picture">
                      <pic:pic>
                        <pic:nvPicPr>
                          <pic:cNvPr id="0" name="icon_lock.png"/>
                          <pic:cNvPicPr/>
                        </pic:nvPicPr>
                        <pic:blipFill>
                          <a:blip r:embed="rId18"/>
                          <a:stretch>
                            <a:fillRect/>
                          </a:stretch>
                        </pic:blipFill>
                        <pic:spPr>
                          <a:xfrm>
                            <a:off x="0" y="0"/>
                            <a:ext cx="152400" cy="152400"/>
                          </a:xfrm>
                          <a:prstGeom prst="rect"/>
                        </pic:spPr>
                      </pic:pic>
                    </a:graphicData>
                  </a:graphic>
                </wp:inline>
              </w:drawing>
            </w:r>
            <w:r>
              <w:t xml:space="preserve"> to freeze it.</w:t>
            </w:r>
          </w:p>
        </w:tc>
      </w:tr>
    </w:tbl>
    <w:p/>
    <w:p>
      <w:pPr>
        <w:pStyle w:val="Heading1"/>
      </w:pPr>
      <w:r>
        <w:t>Create a Project</w:t>
      </w:r>
    </w:p>
    <w:tbl>
      <w:tblPr>
        <w:tblW w:type="auto" w:w="0"/>
        <w:tblLayout w:type="autofit"/>
        <w:tblLook w:firstColumn="1" w:firstRow="1" w:lastColumn="0" w:lastRow="0" w:noHBand="0" w:noVBand="1" w:val="04A0"/>
      </w:tblPr>
      <w:tblGrid>
        <w:gridCol w:w="9972"/>
      </w:tblGrid>
      <w:tr>
        <w:tc>
          <w:tcPr>
            <w:tcW w:type="dxa" w:w="1474"/>
            <w:shd w:val="clear" w:color="auto" w:fill="0B3D91"/>
          </w:tcPr>
          <w:p>
            <w:pPr>
              <w:jc w:val="center"/>
            </w:pPr>
            <w:r>
              <w:rPr>
                <w:b/>
                <w:color w:val="FFFFFF"/>
                <w:sz w:val="18"/>
              </w:rPr>
              <w:t>PM/SM</w:t>
            </w:r>
          </w:p>
        </w:tc>
      </w:tr>
    </w:tbl>
    <w:p/>
    <w:tbl>
      <w:tblPr>
        <w:tblW w:type="auto" w:w="0"/>
        <w:tblLayout w:type="autofit"/>
        <w:tblLook w:firstColumn="1" w:firstRow="1" w:lastColumn="0" w:lastRow="0" w:noHBand="0" w:noVBand="1" w:val="04A0"/>
      </w:tblPr>
      <w:tblGrid>
        <w:gridCol w:w="9972"/>
      </w:tblGrid>
      <w:tr>
        <w:tc>
          <w:tcPr>
            <w:tcW w:type="dxa" w:w="9972"/>
            <w:shd w:val="clear" w:color="auto" w:fill="EAF3FF"/>
            <w:tcBorders>
              <w:top w:val="single" w:sz="4" w:color="C8D2E8"/>
              <w:left w:val="single" w:sz="4" w:color="C8D2E8"/>
              <w:bottom w:val="single" w:sz="4" w:color="C8D2E8"/>
              <w:right w:val="single" w:sz="4" w:color="C8D2E8"/>
            </w:tcBorders>
          </w:tcPr>
          <w:p>
            <w:r>
              <w:rPr>
                <w:b/>
                <w:color w:val="0B3D91"/>
                <w:sz w:val="22"/>
              </w:rPr>
              <w:t>At a glance</w:t>
            </w:r>
          </w:p>
          <w:p>
            <w:r>
              <w:rPr>
                <w:b/>
                <w:color w:val="0B3D91"/>
              </w:rPr>
              <w:t xml:space="preserve">• </w:t>
            </w:r>
            <w:r>
              <w:t xml:space="preserve">PM/SM creates </w:t>
            </w:r>
            <w:r>
              <w:rPr>
                <w:b/>
              </w:rPr>
              <w:t>Regular Projects</w:t>
            </w:r>
            <w:r>
              <w:t xml:space="preserve"> only. Services are created by RM / IT-Controlling per Knauf governance.</w:t>
            </w:r>
          </w:p>
          <w:p>
            <w:r>
              <w:rPr>
                <w:b/>
                <w:color w:val="0B3D91"/>
              </w:rPr>
              <w:t xml:space="preserve">• </w:t>
            </w:r>
            <w:r>
              <w:t xml:space="preserve">A new project opens directly in the </w:t>
            </w:r>
            <w:r>
              <w:rPr>
                <w:b/>
              </w:rPr>
              <w:t>Attributes</w:t>
            </w:r>
            <w:r>
              <w:t xml:space="preserve"> view with an intake form to fill in.</w:t>
            </w:r>
          </w:p>
          <w:p>
            <w:r>
              <w:rPr>
                <w:b/>
                <w:color w:val="0B3D91"/>
              </w:rPr>
              <w:t xml:space="preserve">• </w:t>
            </w:r>
            <w:r>
              <w:t>Mandatory fields are marked with a red asterisk; you cannot save until they are set.</w:t>
            </w:r>
          </w:p>
          <w:p>
            <w:r>
              <w:rPr>
                <w:b/>
                <w:color w:val="0B3D91"/>
              </w:rPr>
              <w:t xml:space="preserve">• </w:t>
            </w:r>
            <w:r>
              <w:t>The PMO section captures portfolio-level metadata (Above Red Line, Portfolio Status, WBS, etc.).</w:t>
            </w:r>
          </w:p>
        </w:tc>
      </w:tr>
    </w:tbl>
    <w:p/>
    <w:p>
      <w:pPr>
        <w:pStyle w:val="Heading2"/>
      </w:pPr>
      <w:r>
        <w:t>Start the Create Flow</w:t>
      </w:r>
    </w:p>
    <w:tbl>
      <w:tblPr>
        <w:tblW w:type="auto" w:w="0"/>
        <w:tblLayout w:type="autofit"/>
        <w:tblLook w:firstColumn="1" w:firstRow="1" w:lastColumn="0" w:lastRow="0" w:noHBand="0" w:noVBand="1" w:val="04A0"/>
      </w:tblPr>
      <w:tblGrid>
        <w:gridCol w:w="9972"/>
      </w:tblGrid>
      <w:tr>
        <w:tc>
          <w:tcPr>
            <w:tcW w:type="dxa" w:w="9972"/>
            <w:shd w:val="clear" w:color="auto" w:fill="F5F0FF"/>
            <w:tcBorders>
              <w:top w:val="single" w:sz="4" w:color="C8D2E8"/>
              <w:left w:val="single" w:sz="4" w:color="C8D2E8"/>
              <w:bottom w:val="single" w:sz="4" w:color="C8D2E8"/>
              <w:right w:val="single" w:sz="4" w:color="C8D2E8"/>
            </w:tcBorders>
          </w:tcPr>
          <w:p>
            <w:r>
              <w:rPr>
                <w:b/>
                <w:color w:val="0B3D91"/>
                <w:sz w:val="22"/>
              </w:rPr>
              <w:t>How to</w:t>
            </w:r>
          </w:p>
          <w:p>
            <w:r>
              <w:rPr>
                <w:b/>
                <w:color w:val="0B3D91"/>
              </w:rPr>
              <w:t xml:space="preserve">1. </w:t>
            </w:r>
            <w:r>
              <w:t xml:space="preserve">Open the </w:t>
            </w:r>
            <w:r>
              <w:rPr>
                <w:b/>
              </w:rPr>
              <w:t>Project Management</w:t>
            </w:r>
            <w:r>
              <w:t xml:space="preserve"> tile or the </w:t>
            </w:r>
            <w:r>
              <w:rPr>
                <w:b/>
              </w:rPr>
              <w:t>+</w:t>
            </w:r>
            <w:r>
              <w:t xml:space="preserve"> badge on the Project Management tile.</w:t>
            </w:r>
          </w:p>
          <w:p>
            <w:r>
              <w:rPr>
                <w:b/>
                <w:color w:val="0B3D91"/>
              </w:rPr>
              <w:t xml:space="preserve">2. </w:t>
            </w:r>
            <w:r>
              <w:t xml:space="preserve">Click the green </w:t>
            </w:r>
            <w:r>
              <w:rPr>
                <w:b/>
              </w:rPr>
              <w:t>Create Project</w:t>
            </w:r>
            <w:r>
              <w:t xml:space="preserve"> button.</w:t>
            </w:r>
          </w:p>
          <w:p>
            <w:r>
              <w:rPr>
                <w:b/>
                <w:color w:val="0B3D91"/>
              </w:rPr>
              <w:t xml:space="preserve">3. </w:t>
            </w:r>
            <w:r>
              <w:t xml:space="preserve">Pick a template - PM/SM at Knauf sees a single option, </w:t>
            </w:r>
            <w:r>
              <w:rPr>
                <w:b/>
              </w:rPr>
              <w:t>Regular Project</w:t>
            </w:r>
            <w:r>
              <w:t>.</w:t>
            </w:r>
          </w:p>
          <w:p>
            <w:r>
              <w:rPr>
                <w:b/>
                <w:color w:val="0B3D91"/>
              </w:rPr>
              <w:t xml:space="preserve">4. </w:t>
            </w:r>
            <w:r>
              <w:t>The new project opens immediately in its Attributes view.</w:t>
            </w:r>
          </w:p>
        </w:tc>
      </w:tr>
    </w:tbl>
    <w:p/>
    <w:p>
      <w:r>
        <w:t xml:space="preserve">When the wizard finishes scaffolding the record you immediately land in </w:t>
      </w:r>
      <w:r>
        <w:rPr>
          <w:b/>
        </w:rPr>
        <w:t>Attributes</w:t>
      </w:r>
      <w:r>
        <w:t xml:space="preserve">. The intake groups collect business metadata (portfolio, legal entity, product areas, timelines) ahead of allocations. Mandatory controls display a red asterisk; dropdowns tinted green echo Knauf’s recommended combinations straight from Phase 1 configuration. The stitched capture below concentrates on those controls so paragraph and screenshot read together like a textbook walkthrough rather than an isolated wallpaper. </w:t>
      </w:r>
      <w:r>
        <w:drawing>
          <wp:inline xmlns:a="http://schemas.openxmlformats.org/drawingml/2006/main" xmlns:pic="http://schemas.openxmlformats.org/drawingml/2006/picture">
            <wp:extent cx="3311999" cy="3085593"/>
            <wp:docPr id="22" name="Picture 22"/>
            <wp:cNvGraphicFramePr>
              <a:graphicFrameLocks noChangeAspect="1"/>
            </wp:cNvGraphicFramePr>
            <a:graphic>
              <a:graphicData uri="http://schemas.openxmlformats.org/drawingml/2006/picture">
                <pic:pic>
                  <pic:nvPicPr>
                    <pic:cNvPr id="0" name="qrg_04_create_intake_pmsm.png"/>
                    <pic:cNvPicPr/>
                  </pic:nvPicPr>
                  <pic:blipFill>
                    <a:blip r:embed="rId25"/>
                    <a:stretch>
                      <a:fillRect/>
                    </a:stretch>
                  </pic:blipFill>
                  <pic:spPr>
                    <a:xfrm>
                      <a:off x="0" y="0"/>
                      <a:ext cx="3311999" cy="3085593"/>
                    </a:xfrm>
                    <a:prstGeom prst="rect"/>
                  </pic:spPr>
                </pic:pic>
              </a:graphicData>
            </a:graphic>
          </wp:inline>
        </w:drawing>
      </w:r>
    </w:p>
    <w:p>
      <w:pPr>
        <w:pStyle w:val="Heading2"/>
      </w:pPr>
      <w:r>
        <w:t>Intake Form - Mandatory Fields</w:t>
      </w:r>
    </w:p>
    <w:tbl>
      <w:tblPr>
        <w:tblW w:type="auto" w:w="0"/>
        <w:tblLayout w:type="autofit"/>
        <w:tblLook w:firstColumn="1" w:firstRow="1" w:lastColumn="0" w:lastRow="0" w:noHBand="0" w:noVBand="1" w:val="04A0"/>
      </w:tblPr>
      <w:tblGrid>
        <w:gridCol w:w="3324"/>
        <w:gridCol w:w="3324"/>
        <w:gridCol w:w="3324"/>
      </w:tblGrid>
      <w:tr>
        <w:tc>
          <w:tcPr>
            <w:tcW w:type="dxa" w:w="3213"/>
            <w:shd w:val="clear" w:color="auto" w:fill="0B3D91"/>
          </w:tcPr>
          <w:p>
            <w:r>
              <w:rPr>
                <w:b/>
                <w:color w:val="FFFFFF"/>
                <w:sz w:val="20"/>
              </w:rPr>
              <w:t>Field</w:t>
            </w:r>
          </w:p>
        </w:tc>
        <w:tc>
          <w:tcPr>
            <w:tcW w:type="dxa" w:w="3213"/>
            <w:shd w:val="clear" w:color="auto" w:fill="0B3D91"/>
          </w:tcPr>
          <w:p>
            <w:r>
              <w:rPr>
                <w:b/>
                <w:color w:val="FFFFFF"/>
                <w:sz w:val="20"/>
              </w:rPr>
              <w:t>Example value</w:t>
            </w:r>
          </w:p>
        </w:tc>
        <w:tc>
          <w:tcPr>
            <w:tcW w:type="dxa" w:w="3213"/>
            <w:shd w:val="clear" w:color="auto" w:fill="0B3D91"/>
          </w:tcPr>
          <w:p>
            <w:r>
              <w:rPr>
                <w:b/>
                <w:color w:val="FFFFFF"/>
                <w:sz w:val="20"/>
              </w:rPr>
              <w:t>Notes</w:t>
            </w:r>
          </w:p>
        </w:tc>
      </w:tr>
      <w:tr>
        <w:tc>
          <w:tcPr>
            <w:tcW w:type="dxa" w:w="3213"/>
          </w:tcPr>
          <w:p>
            <w:r>
              <w:rPr>
                <w:b/>
                <w:sz w:val="20"/>
              </w:rPr>
              <w:t>Type</w:t>
            </w:r>
            <w:r>
              <w:rPr>
                <w:sz w:val="20"/>
              </w:rPr>
              <w:t xml:space="preserve"> *</w:t>
            </w:r>
          </w:p>
        </w:tc>
        <w:tc>
          <w:tcPr>
            <w:tcW w:type="dxa" w:w="3213"/>
          </w:tcPr>
          <w:p>
            <w:r>
              <w:rPr>
                <w:rFonts w:ascii="Consolas" w:hAnsi="Consolas"/>
                <w:sz w:val="20"/>
              </w:rPr>
              <w:t>Project</w:t>
            </w:r>
          </w:p>
        </w:tc>
        <w:tc>
          <w:tcPr>
            <w:tcW w:type="dxa" w:w="3213"/>
          </w:tcPr>
          <w:p>
            <w:r>
              <w:rPr>
                <w:sz w:val="20"/>
              </w:rPr>
              <w:t>Set by the template.</w:t>
            </w:r>
          </w:p>
        </w:tc>
      </w:tr>
      <w:tr>
        <w:tc>
          <w:tcPr>
            <w:tcW w:type="dxa" w:w="3213"/>
            <w:shd w:val="clear" w:color="auto" w:fill="F5F7FB"/>
          </w:tcPr>
          <w:p>
            <w:r>
              <w:rPr>
                <w:b/>
                <w:sz w:val="20"/>
              </w:rPr>
              <w:t>Service Name</w:t>
            </w:r>
            <w:r>
              <w:rPr>
                <w:sz w:val="20"/>
              </w:rPr>
              <w:t xml:space="preserve"> *</w:t>
            </w:r>
          </w:p>
        </w:tc>
        <w:tc>
          <w:tcPr>
            <w:tcW w:type="dxa" w:w="3213"/>
            <w:shd w:val="clear" w:color="auto" w:fill="F5F7FB"/>
          </w:tcPr>
          <w:p>
            <w:r>
              <w:rPr>
                <w:rFonts w:ascii="Consolas" w:hAnsi="Consolas"/>
                <w:sz w:val="20"/>
              </w:rPr>
              <w:t>Project - n.a.</w:t>
            </w:r>
          </w:p>
        </w:tc>
        <w:tc>
          <w:tcPr>
            <w:tcW w:type="dxa" w:w="3213"/>
            <w:shd w:val="clear" w:color="auto" w:fill="F5F7FB"/>
          </w:tcPr>
          <w:p>
            <w:r>
              <w:rPr>
                <w:sz w:val="20"/>
              </w:rPr>
              <w:t>Stays at default for regular projects.</w:t>
            </w:r>
          </w:p>
        </w:tc>
      </w:tr>
      <w:tr>
        <w:tc>
          <w:tcPr>
            <w:tcW w:type="dxa" w:w="3213"/>
          </w:tcPr>
          <w:p>
            <w:r>
              <w:rPr>
                <w:b/>
                <w:sz w:val="20"/>
              </w:rPr>
              <w:t>Division</w:t>
            </w:r>
            <w:r>
              <w:rPr>
                <w:sz w:val="20"/>
              </w:rPr>
              <w:t xml:space="preserve"> *</w:t>
            </w:r>
          </w:p>
        </w:tc>
        <w:tc>
          <w:tcPr>
            <w:tcW w:type="dxa" w:w="3213"/>
          </w:tcPr>
          <w:p>
            <w:r>
              <w:rPr>
                <w:rFonts w:ascii="Consolas" w:hAnsi="Consolas"/>
                <w:sz w:val="20"/>
              </w:rPr>
              <w:t>Enterprise Solutions</w:t>
            </w:r>
          </w:p>
        </w:tc>
        <w:tc>
          <w:tcPr>
            <w:tcW w:type="dxa" w:w="3213"/>
          </w:tcPr>
          <w:p>
            <w:r>
              <w:rPr>
                <w:sz w:val="20"/>
              </w:rPr>
              <w:t>Drives portfolio roll-ups.</w:t>
            </w:r>
          </w:p>
        </w:tc>
      </w:tr>
      <w:tr>
        <w:tc>
          <w:tcPr>
            <w:tcW w:type="dxa" w:w="3213"/>
            <w:shd w:val="clear" w:color="auto" w:fill="F5F7FB"/>
          </w:tcPr>
          <w:p>
            <w:r>
              <w:rPr>
                <w:b/>
                <w:sz w:val="20"/>
              </w:rPr>
              <w:t>Product/Platform Area</w:t>
            </w:r>
            <w:r>
              <w:rPr>
                <w:sz w:val="20"/>
              </w:rPr>
              <w:t xml:space="preserve"> *</w:t>
            </w:r>
          </w:p>
        </w:tc>
        <w:tc>
          <w:tcPr>
            <w:tcW w:type="dxa" w:w="3213"/>
            <w:shd w:val="clear" w:color="auto" w:fill="F5F7FB"/>
          </w:tcPr>
          <w:p>
            <w:r>
              <w:rPr>
                <w:rFonts w:ascii="Consolas" w:hAnsi="Consolas"/>
                <w:sz w:val="20"/>
              </w:rPr>
              <w:t>MSS</w:t>
            </w:r>
          </w:p>
        </w:tc>
        <w:tc>
          <w:tcPr>
            <w:tcW w:type="dxa" w:w="3213"/>
            <w:shd w:val="clear" w:color="auto" w:fill="F5F7FB"/>
          </w:tcPr>
          <w:p>
            <w:r>
              <w:rPr>
                <w:sz w:val="20"/>
              </w:rPr>
              <w:t>Sub-area.</w:t>
            </w:r>
          </w:p>
        </w:tc>
      </w:tr>
      <w:tr>
        <w:tc>
          <w:tcPr>
            <w:tcW w:type="dxa" w:w="3213"/>
          </w:tcPr>
          <w:p>
            <w:r>
              <w:rPr>
                <w:b/>
                <w:sz w:val="20"/>
              </w:rPr>
              <w:t>Lead Product/Platform</w:t>
            </w:r>
            <w:r>
              <w:rPr>
                <w:sz w:val="20"/>
              </w:rPr>
              <w:t xml:space="preserve"> *</w:t>
            </w:r>
          </w:p>
        </w:tc>
        <w:tc>
          <w:tcPr>
            <w:tcW w:type="dxa" w:w="3213"/>
          </w:tcPr>
          <w:p>
            <w:r>
              <w:rPr>
                <w:rFonts w:ascii="Consolas" w:hAnsi="Consolas"/>
                <w:sz w:val="20"/>
              </w:rPr>
              <w:t>SFX Platform</w:t>
            </w:r>
          </w:p>
        </w:tc>
        <w:tc>
          <w:tcPr>
            <w:tcW w:type="dxa" w:w="3213"/>
          </w:tcPr>
          <w:p>
            <w:r>
              <w:rPr>
                <w:sz w:val="20"/>
              </w:rPr>
              <w:t>Leading platform.</w:t>
            </w:r>
          </w:p>
        </w:tc>
      </w:tr>
      <w:tr>
        <w:tc>
          <w:tcPr>
            <w:tcW w:type="dxa" w:w="3213"/>
            <w:shd w:val="clear" w:color="auto" w:fill="F5F7FB"/>
          </w:tcPr>
          <w:p>
            <w:r>
              <w:rPr>
                <w:b/>
                <w:sz w:val="20"/>
              </w:rPr>
              <w:t>Business Portfolio</w:t>
            </w:r>
            <w:r>
              <w:rPr>
                <w:sz w:val="20"/>
              </w:rPr>
              <w:t xml:space="preserve"> *</w:t>
            </w:r>
          </w:p>
        </w:tc>
        <w:tc>
          <w:tcPr>
            <w:tcW w:type="dxa" w:w="3213"/>
            <w:shd w:val="clear" w:color="auto" w:fill="F5F7FB"/>
          </w:tcPr>
          <w:p>
            <w:r>
              <w:rPr>
                <w:rFonts w:ascii="Consolas" w:hAnsi="Consolas"/>
                <w:sz w:val="20"/>
              </w:rPr>
              <w:t>MoB</w:t>
            </w:r>
          </w:p>
        </w:tc>
        <w:tc>
          <w:tcPr>
            <w:tcW w:type="dxa" w:w="3213"/>
            <w:shd w:val="clear" w:color="auto" w:fill="F5F7FB"/>
          </w:tcPr>
          <w:p>
            <w:r>
              <w:rPr>
                <w:sz w:val="20"/>
              </w:rPr>
              <w:t>Drives portfolio reporting.</w:t>
            </w:r>
          </w:p>
        </w:tc>
      </w:tr>
      <w:tr>
        <w:tc>
          <w:tcPr>
            <w:tcW w:type="dxa" w:w="3213"/>
          </w:tcPr>
          <w:p>
            <w:r>
              <w:rPr>
                <w:b/>
                <w:sz w:val="20"/>
              </w:rPr>
              <w:t>Project Charging Type</w:t>
            </w:r>
            <w:r>
              <w:rPr>
                <w:sz w:val="20"/>
              </w:rPr>
              <w:t xml:space="preserve"> *</w:t>
            </w:r>
          </w:p>
        </w:tc>
        <w:tc>
          <w:tcPr>
            <w:tcW w:type="dxa" w:w="3213"/>
          </w:tcPr>
          <w:p>
            <w:r>
              <w:rPr>
                <w:sz w:val="20"/>
              </w:rPr>
              <w:t>choose from list</w:t>
            </w:r>
          </w:p>
        </w:tc>
        <w:tc>
          <w:tcPr>
            <w:tcW w:type="dxa" w:w="3213"/>
          </w:tcPr>
          <w:p>
            <w:r>
              <w:rPr>
                <w:sz w:val="20"/>
              </w:rPr>
              <w:t>Internal charging rule.</w:t>
            </w:r>
          </w:p>
        </w:tc>
      </w:tr>
      <w:tr>
        <w:tc>
          <w:tcPr>
            <w:tcW w:type="dxa" w:w="3213"/>
            <w:shd w:val="clear" w:color="auto" w:fill="F5F7FB"/>
          </w:tcPr>
          <w:p>
            <w:r>
              <w:rPr>
                <w:b/>
                <w:sz w:val="20"/>
              </w:rPr>
              <w:t>Legal Entity</w:t>
            </w:r>
            <w:r>
              <w:rPr>
                <w:sz w:val="20"/>
              </w:rPr>
              <w:t xml:space="preserve"> *</w:t>
            </w:r>
          </w:p>
        </w:tc>
        <w:tc>
          <w:tcPr>
            <w:tcW w:type="dxa" w:w="3213"/>
            <w:shd w:val="clear" w:color="auto" w:fill="F5F7FB"/>
          </w:tcPr>
          <w:p>
            <w:r>
              <w:rPr>
                <w:sz w:val="20"/>
              </w:rPr>
              <w:t>choose from list</w:t>
            </w:r>
          </w:p>
        </w:tc>
        <w:tc>
          <w:tcPr>
            <w:tcW w:type="dxa" w:w="3213"/>
            <w:shd w:val="clear" w:color="auto" w:fill="F5F7FB"/>
          </w:tcPr>
          <w:p>
            <w:r>
              <w:rPr>
                <w:sz w:val="20"/>
              </w:rPr>
              <w:t>Knauf legal entity.</w:t>
            </w:r>
          </w:p>
        </w:tc>
      </w:tr>
      <w:tr>
        <w:tc>
          <w:tcPr>
            <w:tcW w:type="dxa" w:w="3213"/>
          </w:tcPr>
          <w:p>
            <w:r>
              <w:rPr>
                <w:b/>
                <w:sz w:val="20"/>
              </w:rPr>
              <w:t>Program Evolution Relation</w:t>
            </w:r>
            <w:r>
              <w:rPr>
                <w:sz w:val="20"/>
              </w:rPr>
              <w:t xml:space="preserve"> *</w:t>
            </w:r>
          </w:p>
        </w:tc>
        <w:tc>
          <w:tcPr>
            <w:tcW w:type="dxa" w:w="3213"/>
          </w:tcPr>
          <w:p>
            <w:r>
              <w:rPr>
                <w:rFonts w:ascii="Consolas" w:hAnsi="Consolas"/>
                <w:sz w:val="20"/>
              </w:rPr>
              <w:t>beneficial</w:t>
            </w:r>
          </w:p>
        </w:tc>
        <w:tc>
          <w:tcPr>
            <w:tcW w:type="dxa" w:w="3213"/>
          </w:tcPr>
          <w:p>
            <w:r>
              <w:rPr>
                <w:sz w:val="20"/>
              </w:rPr>
              <w:t>Relation to the parent program.</w:t>
            </w:r>
          </w:p>
        </w:tc>
      </w:tr>
    </w:tbl>
    <w:p/>
    <w:p>
      <w:pPr>
        <w:pStyle w:val="Heading2"/>
      </w:pPr>
      <w:r>
        <w:t>Intake Form - Optional Fields</w:t>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Field</w:t>
            </w:r>
          </w:p>
        </w:tc>
        <w:tc>
          <w:tcPr>
            <w:tcW w:type="dxa" w:w="4819"/>
            <w:shd w:val="clear" w:color="auto" w:fill="0B3D91"/>
          </w:tcPr>
          <w:p>
            <w:r>
              <w:rPr>
                <w:b/>
                <w:color w:val="FFFFFF"/>
                <w:sz w:val="20"/>
              </w:rPr>
              <w:t>Used for</w:t>
            </w:r>
          </w:p>
        </w:tc>
      </w:tr>
      <w:tr>
        <w:tc>
          <w:tcPr>
            <w:tcW w:type="dxa" w:w="4819"/>
          </w:tcPr>
          <w:p>
            <w:r>
              <w:rPr>
                <w:b/>
                <w:sz w:val="20"/>
              </w:rPr>
              <w:t>Planned Start date / Planned End Date</w:t>
            </w:r>
          </w:p>
        </w:tc>
        <w:tc>
          <w:tcPr>
            <w:tcW w:type="dxa" w:w="4819"/>
          </w:tcPr>
          <w:p>
            <w:r>
              <w:rPr>
                <w:sz w:val="20"/>
              </w:rPr>
              <w:t>Drives the Allocations and Financials timeframe.</w:t>
            </w:r>
          </w:p>
        </w:tc>
      </w:tr>
      <w:tr>
        <w:tc>
          <w:tcPr>
            <w:tcW w:type="dxa" w:w="4819"/>
            <w:shd w:val="clear" w:color="auto" w:fill="F5F7FB"/>
          </w:tcPr>
          <w:p>
            <w:r>
              <w:rPr>
                <w:b/>
                <w:sz w:val="20"/>
              </w:rPr>
              <w:t>Program</w:t>
            </w:r>
          </w:p>
        </w:tc>
        <w:tc>
          <w:tcPr>
            <w:tcW w:type="dxa" w:w="4819"/>
            <w:shd w:val="clear" w:color="auto" w:fill="F5F7FB"/>
          </w:tcPr>
          <w:p>
            <w:r>
              <w:rPr>
                <w:sz w:val="20"/>
              </w:rPr>
              <w:t>Parent program link.</w:t>
            </w:r>
          </w:p>
        </w:tc>
      </w:tr>
      <w:tr>
        <w:tc>
          <w:tcPr>
            <w:tcW w:type="dxa" w:w="4819"/>
          </w:tcPr>
          <w:p>
            <w:r>
              <w:rPr>
                <w:b/>
                <w:sz w:val="20"/>
              </w:rPr>
              <w:t>Categorization</w:t>
            </w:r>
          </w:p>
        </w:tc>
        <w:tc>
          <w:tcPr>
            <w:tcW w:type="dxa" w:w="4819"/>
          </w:tcPr>
          <w:p>
            <w:r>
              <w:rPr>
                <w:rFonts w:ascii="Consolas" w:hAnsi="Consolas"/>
                <w:sz w:val="20"/>
              </w:rPr>
              <w:t>new</w:t>
            </w:r>
            <w:r>
              <w:rPr>
                <w:sz w:val="20"/>
              </w:rPr>
              <w:t xml:space="preserve">, </w:t>
            </w:r>
            <w:r>
              <w:rPr>
                <w:rFonts w:ascii="Consolas" w:hAnsi="Consolas"/>
                <w:sz w:val="20"/>
              </w:rPr>
              <w:t>existing</w:t>
            </w:r>
            <w:r>
              <w:rPr>
                <w:sz w:val="20"/>
              </w:rPr>
              <w:t xml:space="preserve">, </w:t>
            </w:r>
            <w:r>
              <w:rPr>
                <w:rFonts w:ascii="Consolas" w:hAnsi="Consolas"/>
                <w:sz w:val="20"/>
              </w:rPr>
              <w:t>extension</w:t>
            </w:r>
            <w:r>
              <w:rPr>
                <w:sz w:val="20"/>
              </w:rPr>
              <w:t>.</w:t>
            </w:r>
          </w:p>
        </w:tc>
      </w:tr>
      <w:tr>
        <w:tc>
          <w:tcPr>
            <w:tcW w:type="dxa" w:w="4819"/>
            <w:shd w:val="clear" w:color="auto" w:fill="F5F7FB"/>
          </w:tcPr>
          <w:p>
            <w:r>
              <w:rPr>
                <w:b/>
                <w:sz w:val="20"/>
              </w:rPr>
              <w:t>Project Category</w:t>
            </w:r>
          </w:p>
        </w:tc>
        <w:tc>
          <w:tcPr>
            <w:tcW w:type="dxa" w:w="4819"/>
            <w:shd w:val="clear" w:color="auto" w:fill="F5F7FB"/>
          </w:tcPr>
          <w:p>
            <w:r>
              <w:rPr>
                <w:sz w:val="20"/>
              </w:rPr>
              <w:t xml:space="preserve">For example </w:t>
            </w:r>
            <w:r>
              <w:rPr>
                <w:rFonts w:ascii="Consolas" w:hAnsi="Consolas"/>
                <w:sz w:val="20"/>
              </w:rPr>
              <w:t>Maintenance</w:t>
            </w:r>
            <w:r>
              <w:rPr>
                <w:sz w:val="20"/>
              </w:rPr>
              <w:t>.</w:t>
            </w:r>
          </w:p>
        </w:tc>
      </w:tr>
      <w:tr>
        <w:tc>
          <w:tcPr>
            <w:tcW w:type="dxa" w:w="4819"/>
          </w:tcPr>
          <w:p>
            <w:r>
              <w:rPr>
                <w:b/>
                <w:sz w:val="20"/>
              </w:rPr>
              <w:t>Project Manager</w:t>
            </w:r>
          </w:p>
        </w:tc>
        <w:tc>
          <w:tcPr>
            <w:tcW w:type="dxa" w:w="4819"/>
          </w:tcPr>
          <w:p>
            <w:r>
              <w:rPr>
                <w:sz w:val="20"/>
              </w:rPr>
              <w:t>The Tempus user owning the project.</w:t>
            </w:r>
          </w:p>
        </w:tc>
      </w:tr>
    </w:tbl>
    <w:p/>
    <w:p>
      <w:pPr>
        <w:pStyle w:val="Heading2"/>
      </w:pPr>
      <w:r>
        <w:t>PMO Section</w:t>
      </w:r>
    </w:p>
    <w:p>
      <w:r>
        <w:t xml:space="preserve">After the intake block the dialog continues with the </w:t>
      </w:r>
      <w:r>
        <w:rPr>
          <w:b/>
        </w:rPr>
        <w:t>PMO</w:t>
      </w:r>
      <w:r>
        <w:t xml:space="preserve"> panel (Above Red Line, Portfolio Status, external numbering, WBS). These fields roll straight into portfolio analytics, so completeness matters even though they feel administrative. Scroll until every red asterisk is satisfied before invoking </w:t>
      </w:r>
      <w:r>
        <w:rPr>
          <w:b/>
        </w:rPr>
        <w:t>Create</w:t>
      </w:r>
      <w:r>
        <w:t xml:space="preserve">; the illustrative crop focuses on PMO-only controls so planners know exactly where governance data lives relative to intake. </w:t>
      </w:r>
      <w:r>
        <w:drawing>
          <wp:inline xmlns:a="http://schemas.openxmlformats.org/drawingml/2006/main" xmlns:pic="http://schemas.openxmlformats.org/drawingml/2006/picture">
            <wp:extent cx="3311999" cy="3085593"/>
            <wp:docPr id="23" name="Picture 23"/>
            <wp:cNvGraphicFramePr>
              <a:graphicFrameLocks noChangeAspect="1"/>
            </wp:cNvGraphicFramePr>
            <a:graphic>
              <a:graphicData uri="http://schemas.openxmlformats.org/drawingml/2006/picture">
                <pic:pic>
                  <pic:nvPicPr>
                    <pic:cNvPr id="0" name="qrg_05_create_pmo_pmsm.png"/>
                    <pic:cNvPicPr/>
                  </pic:nvPicPr>
                  <pic:blipFill>
                    <a:blip r:embed="rId26"/>
                    <a:stretch>
                      <a:fillRect/>
                    </a:stretch>
                  </pic:blipFill>
                  <pic:spPr>
                    <a:xfrm>
                      <a:off x="0" y="0"/>
                      <a:ext cx="3311999" cy="3085593"/>
                    </a:xfrm>
                    <a:prstGeom prst="rect"/>
                  </pic:spPr>
                </pic:pic>
              </a:graphicData>
            </a:graphic>
          </wp:inline>
        </w:drawing>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PMO Field</w:t>
            </w:r>
          </w:p>
        </w:tc>
        <w:tc>
          <w:tcPr>
            <w:tcW w:type="dxa" w:w="4819"/>
            <w:shd w:val="clear" w:color="auto" w:fill="0B3D91"/>
          </w:tcPr>
          <w:p>
            <w:r>
              <w:rPr>
                <w:b/>
                <w:color w:val="FFFFFF"/>
                <w:sz w:val="20"/>
              </w:rPr>
              <w:t>Notes</w:t>
            </w:r>
          </w:p>
        </w:tc>
      </w:tr>
      <w:tr>
        <w:tc>
          <w:tcPr>
            <w:tcW w:type="dxa" w:w="4819"/>
          </w:tcPr>
          <w:p>
            <w:r>
              <w:rPr>
                <w:b/>
                <w:sz w:val="20"/>
              </w:rPr>
              <w:t>Above Red Line</w:t>
            </w:r>
          </w:p>
        </w:tc>
        <w:tc>
          <w:tcPr>
            <w:tcW w:type="dxa" w:w="4819"/>
          </w:tcPr>
          <w:p>
            <w:r>
              <w:rPr>
                <w:sz w:val="20"/>
              </w:rPr>
              <w:t>Portfolio prioritisation flag.</w:t>
            </w:r>
          </w:p>
        </w:tc>
      </w:tr>
      <w:tr>
        <w:tc>
          <w:tcPr>
            <w:tcW w:type="dxa" w:w="4819"/>
            <w:shd w:val="clear" w:color="auto" w:fill="F5F7FB"/>
          </w:tcPr>
          <w:p>
            <w:r>
              <w:rPr>
                <w:b/>
                <w:sz w:val="20"/>
              </w:rPr>
              <w:t>Portfolio Status</w:t>
            </w:r>
          </w:p>
        </w:tc>
        <w:tc>
          <w:tcPr>
            <w:tcW w:type="dxa" w:w="4819"/>
            <w:shd w:val="clear" w:color="auto" w:fill="F5F7FB"/>
          </w:tcPr>
          <w:p>
            <w:r>
              <w:rPr>
                <w:sz w:val="20"/>
              </w:rPr>
              <w:t xml:space="preserve">Starts at </w:t>
            </w:r>
            <w:r>
              <w:rPr>
                <w:rFonts w:ascii="Consolas" w:hAnsi="Consolas"/>
                <w:sz w:val="20"/>
              </w:rPr>
              <w:t>0 - Draft</w:t>
            </w:r>
            <w:r>
              <w:rPr>
                <w:sz w:val="20"/>
              </w:rPr>
              <w:t>.</w:t>
            </w:r>
          </w:p>
        </w:tc>
      </w:tr>
      <w:tr>
        <w:tc>
          <w:tcPr>
            <w:tcW w:type="dxa" w:w="4819"/>
          </w:tcPr>
          <w:p>
            <w:r>
              <w:rPr>
                <w:b/>
                <w:sz w:val="20"/>
              </w:rPr>
              <w:t>Ranking</w:t>
            </w:r>
          </w:p>
        </w:tc>
        <w:tc>
          <w:tcPr>
            <w:tcW w:type="dxa" w:w="4819"/>
          </w:tcPr>
          <w:p>
            <w:r>
              <w:rPr>
                <w:sz w:val="20"/>
              </w:rPr>
              <w:t>Portfolio ranking.</w:t>
            </w:r>
          </w:p>
        </w:tc>
      </w:tr>
      <w:tr>
        <w:tc>
          <w:tcPr>
            <w:tcW w:type="dxa" w:w="4819"/>
            <w:shd w:val="clear" w:color="auto" w:fill="F5F7FB"/>
          </w:tcPr>
          <w:p>
            <w:r>
              <w:rPr>
                <w:b/>
                <w:sz w:val="20"/>
              </w:rPr>
              <w:t>Ext. Project Number</w:t>
            </w:r>
          </w:p>
        </w:tc>
        <w:tc>
          <w:tcPr>
            <w:tcW w:type="dxa" w:w="4819"/>
            <w:shd w:val="clear" w:color="auto" w:fill="F5F7FB"/>
          </w:tcPr>
          <w:p>
            <w:r>
              <w:rPr>
                <w:sz w:val="20"/>
              </w:rPr>
              <w:t xml:space="preserve">Tagged </w:t>
            </w:r>
            <w:r>
              <w:rPr>
                <w:b/>
                <w:sz w:val="20"/>
              </w:rPr>
              <w:t>UNIQUE</w:t>
            </w:r>
            <w:r>
              <w:rPr>
                <w:sz w:val="20"/>
              </w:rPr>
              <w:t xml:space="preserve"> - no duplicates allowed.</w:t>
            </w:r>
          </w:p>
        </w:tc>
      </w:tr>
      <w:tr>
        <w:tc>
          <w:tcPr>
            <w:tcW w:type="dxa" w:w="4819"/>
          </w:tcPr>
          <w:p>
            <w:r>
              <w:rPr>
                <w:b/>
                <w:sz w:val="20"/>
              </w:rPr>
              <w:t>Project Identifier Code (WBS)</w:t>
            </w:r>
          </w:p>
        </w:tc>
        <w:tc>
          <w:tcPr>
            <w:tcW w:type="dxa" w:w="4819"/>
          </w:tcPr>
          <w:p>
            <w:r>
              <w:rPr>
                <w:sz w:val="20"/>
              </w:rPr>
              <w:t xml:space="preserve">Knauf WBS code, for example </w:t>
            </w:r>
            <w:r>
              <w:rPr>
                <w:rFonts w:ascii="Consolas" w:hAnsi="Consolas"/>
                <w:sz w:val="20"/>
              </w:rPr>
              <w:t>A.0248.10.000460.22</w:t>
            </w:r>
            <w:r>
              <w:rPr>
                <w:sz w:val="20"/>
              </w:rPr>
              <w:t>.</w:t>
            </w:r>
          </w:p>
        </w:tc>
      </w:tr>
    </w:tbl>
    <w:p/>
    <w:tbl>
      <w:tblPr>
        <w:tblW w:type="auto" w:w="0"/>
        <w:tblLook w:firstColumn="1" w:firstRow="1" w:lastColumn="0" w:lastRow="0" w:noHBand="0" w:noVBand="1" w:val="04A0"/>
      </w:tblPr>
      <w:tblGrid>
        <w:gridCol w:w="9972"/>
      </w:tblGrid>
      <w:tr>
        <w:tc>
          <w:tcPr>
            <w:tcW w:type="dxa" w:w="9972"/>
            <w:shd w:val="clear" w:color="auto" w:fill="EAF7EE"/>
          </w:tcPr>
          <w:p>
            <w:r>
              <w:rPr>
                <w:b/>
                <w:color w:val="1E7A3C"/>
              </w:rPr>
              <w:t xml:space="preserve">Tip: </w:t>
            </w:r>
            <w:r>
              <w:t>Set Planned Start / End right away. Without them, the Allocations grid stays empty and the € Cost / Manday rows have nowhere to land.</w:t>
            </w:r>
          </w:p>
        </w:tc>
      </w:tr>
    </w:tbl>
    <w:p/>
    <w:p>
      <w:pPr>
        <w:pStyle w:val="Heading2"/>
      </w:pPr>
      <w:r>
        <w:t>Save</w:t>
      </w:r>
    </w:p>
    <w:tbl>
      <w:tblPr>
        <w:tblW w:type="auto" w:w="0"/>
        <w:tblLayout w:type="autofit"/>
        <w:tblLook w:firstColumn="1" w:firstRow="1" w:lastColumn="0" w:lastRow="0" w:noHBand="0" w:noVBand="1" w:val="04A0"/>
      </w:tblPr>
      <w:tblGrid>
        <w:gridCol w:w="9972"/>
      </w:tblGrid>
      <w:tr>
        <w:tc>
          <w:tcPr>
            <w:tcW w:type="dxa" w:w="9972"/>
            <w:shd w:val="clear" w:color="auto" w:fill="F5F0FF"/>
            <w:tcBorders>
              <w:top w:val="single" w:sz="4" w:color="C8D2E8"/>
              <w:left w:val="single" w:sz="4" w:color="C8D2E8"/>
              <w:bottom w:val="single" w:sz="4" w:color="C8D2E8"/>
              <w:right w:val="single" w:sz="4" w:color="C8D2E8"/>
            </w:tcBorders>
          </w:tcPr>
          <w:p>
            <w:r>
              <w:rPr>
                <w:b/>
                <w:color w:val="0B3D91"/>
                <w:sz w:val="22"/>
              </w:rPr>
              <w:t>How to</w:t>
            </w:r>
          </w:p>
          <w:p>
            <w:r>
              <w:rPr>
                <w:b/>
                <w:color w:val="0B3D91"/>
              </w:rPr>
              <w:t xml:space="preserve">1. </w:t>
            </w:r>
            <w:r>
              <w:t xml:space="preserve">Enter the </w:t>
            </w:r>
            <w:r>
              <w:rPr>
                <w:b/>
              </w:rPr>
              <w:t>Project name</w:t>
            </w:r>
            <w:r>
              <w:t xml:space="preserve"> in the top-left field.</w:t>
            </w:r>
          </w:p>
          <w:p>
            <w:r>
              <w:rPr>
                <w:b/>
                <w:color w:val="0B3D91"/>
              </w:rPr>
              <w:t xml:space="preserve">2. </w:t>
            </w:r>
            <w:r>
              <w:t>Fill in all mandatory fields (red asterisks).</w:t>
            </w:r>
          </w:p>
          <w:p>
            <w:r>
              <w:rPr>
                <w:b/>
                <w:color w:val="0B3D91"/>
              </w:rPr>
              <w:t xml:space="preserve">3. </w:t>
            </w:r>
            <w:r>
              <w:t xml:space="preserve">Click </w:t>
            </w:r>
            <w:r>
              <w:rPr>
                <w:b/>
              </w:rPr>
              <w:t>Create</w:t>
            </w:r>
            <w:r>
              <w:t xml:space="preserve"> (green button next to the project name).</w:t>
            </w:r>
          </w:p>
          <w:p>
            <w:r>
              <w:rPr>
                <w:b/>
                <w:color w:val="0B3D91"/>
              </w:rPr>
              <w:t xml:space="preserve">4. </w:t>
            </w:r>
            <w:r>
              <w:t>Tempus persists the project and reopens it in the Attributes view, ready for further work.</w:t>
            </w:r>
          </w:p>
        </w:tc>
      </w:tr>
    </w:tbl>
    <w:p/>
    <w:tbl>
      <w:tblPr>
        <w:tblW w:type="auto" w:w="0"/>
        <w:tblLook w:firstColumn="1" w:firstRow="1" w:lastColumn="0" w:lastRow="0" w:noHBand="0" w:noVBand="1" w:val="04A0"/>
      </w:tblPr>
      <w:tblGrid>
        <w:gridCol w:w="9972"/>
      </w:tblGrid>
      <w:tr>
        <w:tc>
          <w:tcPr>
            <w:tcW w:type="dxa" w:w="9972"/>
            <w:shd w:val="clear" w:color="auto" w:fill="FBEAEA"/>
          </w:tcPr>
          <w:p>
            <w:r>
              <w:rPr>
                <w:b/>
                <w:color w:val="B0312F"/>
              </w:rPr>
              <w:t xml:space="preserve">Warning: </w:t>
            </w:r>
            <w:r>
              <w:t xml:space="preserve">If a mandatory field is missing or a duplicate Ext. Project Number is detected, the </w:t>
            </w:r>
            <w:r>
              <w:rPr>
                <w:b/>
              </w:rPr>
              <w:t>Create</w:t>
            </w:r>
            <w:r>
              <w:t xml:space="preserve"> click fails silently. Scroll through the intake form and look for red borders or the duplicate tooltip on the Ext. Project Number field.</w:t>
            </w:r>
          </w:p>
        </w:tc>
      </w:tr>
    </w:tbl>
    <w:p/>
    <w:p>
      <w:pPr>
        <w:pStyle w:val="Heading1"/>
      </w:pPr>
      <w:r>
        <w:t>Project Master Data (Attributes)</w:t>
      </w:r>
    </w:p>
    <w:tbl>
      <w:tblPr>
        <w:tblW w:type="auto" w:w="0"/>
        <w:tblLayout w:type="autofit"/>
        <w:tblLook w:firstColumn="1" w:firstRow="1" w:lastColumn="0" w:lastRow="0" w:noHBand="0" w:noVBand="1" w:val="04A0"/>
      </w:tblPr>
      <w:tblGrid>
        <w:gridCol w:w="9972"/>
      </w:tblGrid>
      <w:tr>
        <w:tc>
          <w:tcPr>
            <w:tcW w:type="dxa" w:w="1474"/>
            <w:shd w:val="clear" w:color="auto" w:fill="0B3D91"/>
          </w:tcPr>
          <w:p>
            <w:pPr>
              <w:jc w:val="center"/>
            </w:pPr>
            <w:r>
              <w:rPr>
                <w:b/>
                <w:color w:val="FFFFFF"/>
                <w:sz w:val="18"/>
              </w:rPr>
              <w:t>PM/SM</w:t>
            </w:r>
          </w:p>
        </w:tc>
      </w:tr>
    </w:tbl>
    <w:p/>
    <w:tbl>
      <w:tblPr>
        <w:tblW w:type="auto" w:w="0"/>
        <w:tblLayout w:type="autofit"/>
        <w:tblLook w:firstColumn="1" w:firstRow="1" w:lastColumn="0" w:lastRow="0" w:noHBand="0" w:noVBand="1" w:val="04A0"/>
      </w:tblPr>
      <w:tblGrid>
        <w:gridCol w:w="9972"/>
      </w:tblGrid>
      <w:tr>
        <w:tc>
          <w:tcPr>
            <w:tcW w:type="dxa" w:w="9972"/>
            <w:shd w:val="clear" w:color="auto" w:fill="EAF3FF"/>
            <w:tcBorders>
              <w:top w:val="single" w:sz="4" w:color="C8D2E8"/>
              <w:left w:val="single" w:sz="4" w:color="C8D2E8"/>
              <w:bottom w:val="single" w:sz="4" w:color="C8D2E8"/>
              <w:right w:val="single" w:sz="4" w:color="C8D2E8"/>
            </w:tcBorders>
          </w:tcPr>
          <w:p>
            <w:r>
              <w:rPr>
                <w:b/>
                <w:color w:val="0B3D91"/>
                <w:sz w:val="22"/>
              </w:rPr>
              <w:t>At a glance</w:t>
            </w:r>
          </w:p>
          <w:p>
            <w:r>
              <w:rPr>
                <w:b/>
                <w:color w:val="0B3D91"/>
              </w:rPr>
              <w:t xml:space="preserve">• </w:t>
            </w:r>
            <w:r>
              <w:t xml:space="preserve">The </w:t>
            </w:r>
            <w:r>
              <w:rPr>
                <w:b/>
              </w:rPr>
              <w:t>Attributes</w:t>
            </w:r>
            <w:r>
              <w:t xml:space="preserve"> view holds all master data and is the first place to clean up after creating a project.</w:t>
            </w:r>
          </w:p>
          <w:p>
            <w:r>
              <w:rPr>
                <w:b/>
                <w:color w:val="0B3D91"/>
              </w:rPr>
              <w:t xml:space="preserve">• </w:t>
            </w:r>
            <w:r>
              <w:t xml:space="preserve">The form is split into </w:t>
            </w:r>
            <w:r>
              <w:rPr>
                <w:b/>
              </w:rPr>
              <w:t>Intake Form</w:t>
            </w:r>
            <w:r>
              <w:t xml:space="preserve"> and </w:t>
            </w:r>
            <w:r>
              <w:rPr>
                <w:b/>
              </w:rPr>
              <w:t>PMO</w:t>
            </w:r>
            <w:r>
              <w:t xml:space="preserve"> sections. PM/SM does </w:t>
            </w:r>
            <w:r>
              <w:rPr>
                <w:b/>
              </w:rPr>
              <w:t>not</w:t>
            </w:r>
            <w:r>
              <w:t xml:space="preserve"> see System Fields or Dependency Section.</w:t>
            </w:r>
          </w:p>
          <w:p>
            <w:r>
              <w:rPr>
                <w:b/>
                <w:color w:val="0B3D91"/>
              </w:rPr>
              <w:t xml:space="preserve">• </w:t>
            </w:r>
            <w:r>
              <w:t xml:space="preserve">Edit directly in the view, click </w:t>
            </w:r>
            <w:r>
              <w:rPr>
                <w:b/>
              </w:rPr>
              <w:t>Save</w:t>
            </w:r>
            <w:r>
              <w:t xml:space="preserve"> in the top-left. No separate checkout step for attributes.</w:t>
            </w:r>
          </w:p>
          <w:p>
            <w:r>
              <w:rPr>
                <w:b/>
                <w:color w:val="0B3D91"/>
              </w:rPr>
              <w:t xml:space="preserve">• </w:t>
            </w:r>
            <w:r>
              <w:t>Green-highlighted dropdowns mark valid Knauf attribute combinations.</w:t>
            </w:r>
          </w:p>
        </w:tc>
      </w:tr>
    </w:tbl>
    <w:p/>
    <w:p>
      <w:r>
        <w:t xml:space="preserve">Stammdaten live here: dropdown-driven sections for portfolio alignment, timelines, classifications and PMO artefacts. Editing is immediate—there is </w:t>
      </w:r>
      <w:r>
        <w:rPr>
          <w:b/>
        </w:rPr>
        <w:t>no checkout</w:t>
      </w:r>
      <w:r>
        <w:t xml:space="preserve"> ritual like in Allocations. Save frequently; each save stamps the CREATED / UPDATED badges embedded in each section heading. Rather than dumping a full-window wallpaper, we embed only the cropped centre of the Attributes layout so explanatory sentences and screenshot stay visually coupled. </w:t>
      </w:r>
      <w:r>
        <w:drawing>
          <wp:inline xmlns:a="http://schemas.openxmlformats.org/drawingml/2006/main" xmlns:pic="http://schemas.openxmlformats.org/drawingml/2006/picture">
            <wp:extent cx="3311999" cy="3085593"/>
            <wp:docPr id="24" name="Picture 24"/>
            <wp:cNvGraphicFramePr>
              <a:graphicFrameLocks noChangeAspect="1"/>
            </wp:cNvGraphicFramePr>
            <a:graphic>
              <a:graphicData uri="http://schemas.openxmlformats.org/drawingml/2006/picture">
                <pic:pic>
                  <pic:nvPicPr>
                    <pic:cNvPr id="0" name="qrg_06_attributes_pmsm.png"/>
                    <pic:cNvPicPr/>
                  </pic:nvPicPr>
                  <pic:blipFill>
                    <a:blip r:embed="rId27"/>
                    <a:stretch>
                      <a:fillRect/>
                    </a:stretch>
                  </pic:blipFill>
                  <pic:spPr>
                    <a:xfrm>
                      <a:off x="0" y="0"/>
                      <a:ext cx="3311999" cy="3085593"/>
                    </a:xfrm>
                    <a:prstGeom prst="rect"/>
                  </pic:spPr>
                </pic:pic>
              </a:graphicData>
            </a:graphic>
          </wp:inline>
        </w:drawing>
      </w:r>
    </w:p>
    <w:p>
      <w:pPr>
        <w:pStyle w:val="Heading2"/>
      </w:pPr>
      <w:r>
        <w:t>Editing Rules</w:t>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Rule</w:t>
            </w:r>
          </w:p>
        </w:tc>
        <w:tc>
          <w:tcPr>
            <w:tcW w:type="dxa" w:w="4819"/>
            <w:shd w:val="clear" w:color="auto" w:fill="0B3D91"/>
          </w:tcPr>
          <w:p>
            <w:r>
              <w:rPr>
                <w:b/>
                <w:color w:val="FFFFFF"/>
                <w:sz w:val="20"/>
              </w:rPr>
              <w:t>Effect</w:t>
            </w:r>
          </w:p>
        </w:tc>
      </w:tr>
      <w:tr>
        <w:tc>
          <w:tcPr>
            <w:tcW w:type="dxa" w:w="4819"/>
          </w:tcPr>
          <w:p>
            <w:r>
              <w:rPr>
                <w:b/>
                <w:sz w:val="20"/>
              </w:rPr>
              <w:t>Lock conflict</w:t>
            </w:r>
          </w:p>
        </w:tc>
        <w:tc>
          <w:tcPr>
            <w:tcW w:type="dxa" w:w="4819"/>
          </w:tcPr>
          <w:p>
            <w:r>
              <w:rPr>
                <w:sz w:val="20"/>
              </w:rPr>
              <w:t>If another user has the project locked, your save is rejected. Wait for the lock to clear.</w:t>
            </w:r>
          </w:p>
        </w:tc>
      </w:tr>
      <w:tr>
        <w:tc>
          <w:tcPr>
            <w:tcW w:type="dxa" w:w="4819"/>
            <w:shd w:val="clear" w:color="auto" w:fill="F5F7FB"/>
          </w:tcPr>
          <w:p>
            <w:r>
              <w:rPr>
                <w:b/>
                <w:sz w:val="20"/>
              </w:rPr>
              <w:t>Audit trail</w:t>
            </w:r>
          </w:p>
        </w:tc>
        <w:tc>
          <w:tcPr>
            <w:tcW w:type="dxa" w:w="4819"/>
            <w:shd w:val="clear" w:color="auto" w:fill="F5F7FB"/>
          </w:tcPr>
          <w:p>
            <w:r>
              <w:rPr>
                <w:sz w:val="20"/>
              </w:rPr>
              <w:t>Every change writes to the Audit Log; the CREATED / UPDATED badges show who and when.</w:t>
            </w:r>
          </w:p>
        </w:tc>
      </w:tr>
      <w:tr>
        <w:tc>
          <w:tcPr>
            <w:tcW w:type="dxa" w:w="4819"/>
          </w:tcPr>
          <w:p>
            <w:r>
              <w:rPr>
                <w:b/>
                <w:sz w:val="20"/>
              </w:rPr>
              <w:t>Cascade</w:t>
            </w:r>
          </w:p>
        </w:tc>
        <w:tc>
          <w:tcPr>
            <w:tcW w:type="dxa" w:w="4819"/>
          </w:tcPr>
          <w:p>
            <w:r>
              <w:rPr>
                <w:sz w:val="20"/>
              </w:rPr>
              <w:t>Some attributes (Division, Business Portfolio) drive cost roll-ups; changes ripple into portfolio reports.</w:t>
            </w:r>
          </w:p>
        </w:tc>
      </w:tr>
      <w:tr>
        <w:tc>
          <w:tcPr>
            <w:tcW w:type="dxa" w:w="4819"/>
            <w:shd w:val="clear" w:color="auto" w:fill="F5F7FB"/>
          </w:tcPr>
          <w:p>
            <w:r>
              <w:rPr>
                <w:b/>
                <w:sz w:val="20"/>
              </w:rPr>
              <w:t>Green badge</w:t>
            </w:r>
          </w:p>
        </w:tc>
        <w:tc>
          <w:tcPr>
            <w:tcW w:type="dxa" w:w="4819"/>
            <w:shd w:val="clear" w:color="auto" w:fill="F5F7FB"/>
          </w:tcPr>
          <w:p>
            <w:r>
              <w:rPr>
                <w:sz w:val="20"/>
              </w:rPr>
              <w:t>Cosmetic Knauf hint that the value is a recommended pick for the current Division / Area combination.</w:t>
            </w:r>
          </w:p>
        </w:tc>
      </w:tr>
    </w:tbl>
    <w:p/>
    <w:p>
      <w:pPr>
        <w:pStyle w:val="Heading2"/>
      </w:pPr>
      <w:r>
        <w:t>What to Maintain Day-to-Day</w:t>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When you...</w:t>
            </w:r>
          </w:p>
        </w:tc>
        <w:tc>
          <w:tcPr>
            <w:tcW w:type="dxa" w:w="4819"/>
            <w:shd w:val="clear" w:color="auto" w:fill="0B3D91"/>
          </w:tcPr>
          <w:p>
            <w:r>
              <w:rPr>
                <w:b/>
                <w:color w:val="FFFFFF"/>
                <w:sz w:val="20"/>
              </w:rPr>
              <w:t>Update this</w:t>
            </w:r>
          </w:p>
        </w:tc>
      </w:tr>
      <w:tr>
        <w:tc>
          <w:tcPr>
            <w:tcW w:type="dxa" w:w="4819"/>
          </w:tcPr>
          <w:p>
            <w:r>
              <w:rPr>
                <w:sz w:val="20"/>
              </w:rPr>
              <w:t>Get a new project name from the business</w:t>
            </w:r>
          </w:p>
        </w:tc>
        <w:tc>
          <w:tcPr>
            <w:tcW w:type="dxa" w:w="4819"/>
          </w:tcPr>
          <w:p>
            <w:r>
              <w:rPr>
                <w:b/>
                <w:sz w:val="20"/>
              </w:rPr>
              <w:t>Project name</w:t>
            </w:r>
            <w:r>
              <w:rPr>
                <w:sz w:val="20"/>
              </w:rPr>
              <w:t xml:space="preserve">, </w:t>
            </w:r>
            <w:r>
              <w:rPr>
                <w:b/>
                <w:sz w:val="20"/>
              </w:rPr>
              <w:t>Ext. Project Number</w:t>
            </w:r>
            <w:r>
              <w:rPr>
                <w:sz w:val="20"/>
              </w:rPr>
              <w:t xml:space="preserve">, </w:t>
            </w:r>
            <w:r>
              <w:rPr>
                <w:b/>
                <w:sz w:val="20"/>
              </w:rPr>
              <w:t>Project Identifier Code (WBS)</w:t>
            </w:r>
            <w:r>
              <w:rPr>
                <w:sz w:val="20"/>
              </w:rPr>
              <w:t>.</w:t>
            </w:r>
          </w:p>
        </w:tc>
      </w:tr>
      <w:tr>
        <w:tc>
          <w:tcPr>
            <w:tcW w:type="dxa" w:w="4819"/>
            <w:shd w:val="clear" w:color="auto" w:fill="F5F7FB"/>
          </w:tcPr>
          <w:p>
            <w:r>
              <w:rPr>
                <w:sz w:val="20"/>
              </w:rPr>
              <w:t>Get scope clarity</w:t>
            </w:r>
          </w:p>
        </w:tc>
        <w:tc>
          <w:tcPr>
            <w:tcW w:type="dxa" w:w="4819"/>
            <w:shd w:val="clear" w:color="auto" w:fill="F5F7FB"/>
          </w:tcPr>
          <w:p>
            <w:r>
              <w:rPr>
                <w:b/>
                <w:sz w:val="20"/>
              </w:rPr>
              <w:t>Categorization</w:t>
            </w:r>
            <w:r>
              <w:rPr>
                <w:sz w:val="20"/>
              </w:rPr>
              <w:t xml:space="preserve"> (</w:t>
            </w:r>
            <w:r>
              <w:rPr>
                <w:rFonts w:ascii="Consolas" w:hAnsi="Consolas"/>
                <w:sz w:val="20"/>
              </w:rPr>
              <w:t>new</w:t>
            </w:r>
            <w:r>
              <w:rPr>
                <w:sz w:val="20"/>
              </w:rPr>
              <w:t xml:space="preserve"> / </w:t>
            </w:r>
            <w:r>
              <w:rPr>
                <w:rFonts w:ascii="Consolas" w:hAnsi="Consolas"/>
                <w:sz w:val="20"/>
              </w:rPr>
              <w:t>existing</w:t>
            </w:r>
            <w:r>
              <w:rPr>
                <w:sz w:val="20"/>
              </w:rPr>
              <w:t xml:space="preserve"> / </w:t>
            </w:r>
            <w:r>
              <w:rPr>
                <w:rFonts w:ascii="Consolas" w:hAnsi="Consolas"/>
                <w:sz w:val="20"/>
              </w:rPr>
              <w:t>extension</w:t>
            </w:r>
            <w:r>
              <w:rPr>
                <w:sz w:val="20"/>
              </w:rPr>
              <w:t xml:space="preserve">), </w:t>
            </w:r>
            <w:r>
              <w:rPr>
                <w:b/>
                <w:sz w:val="20"/>
              </w:rPr>
              <w:t>Project Category</w:t>
            </w:r>
            <w:r>
              <w:rPr>
                <w:sz w:val="20"/>
              </w:rPr>
              <w:t>.</w:t>
            </w:r>
          </w:p>
        </w:tc>
      </w:tr>
      <w:tr>
        <w:tc>
          <w:tcPr>
            <w:tcW w:type="dxa" w:w="4819"/>
          </w:tcPr>
          <w:p>
            <w:r>
              <w:rPr>
                <w:sz w:val="20"/>
              </w:rPr>
              <w:t>Get scheduling</w:t>
            </w:r>
          </w:p>
        </w:tc>
        <w:tc>
          <w:tcPr>
            <w:tcW w:type="dxa" w:w="4819"/>
          </w:tcPr>
          <w:p>
            <w:r>
              <w:rPr>
                <w:b/>
                <w:sz w:val="20"/>
              </w:rPr>
              <w:t>Planned Start / End Date</w:t>
            </w:r>
            <w:r>
              <w:rPr>
                <w:sz w:val="20"/>
              </w:rPr>
              <w:t>.</w:t>
            </w:r>
          </w:p>
        </w:tc>
      </w:tr>
      <w:tr>
        <w:tc>
          <w:tcPr>
            <w:tcW w:type="dxa" w:w="4819"/>
            <w:shd w:val="clear" w:color="auto" w:fill="F5F7FB"/>
          </w:tcPr>
          <w:p>
            <w:r>
              <w:rPr>
                <w:sz w:val="20"/>
              </w:rPr>
              <w:t>Get the responsible PM</w:t>
            </w:r>
          </w:p>
        </w:tc>
        <w:tc>
          <w:tcPr>
            <w:tcW w:type="dxa" w:w="4819"/>
            <w:shd w:val="clear" w:color="auto" w:fill="F5F7FB"/>
          </w:tcPr>
          <w:p>
            <w:r>
              <w:rPr>
                <w:b/>
                <w:sz w:val="20"/>
              </w:rPr>
              <w:t>Project Manager</w:t>
            </w:r>
            <w:r>
              <w:rPr>
                <w:sz w:val="20"/>
              </w:rPr>
              <w:t>.</w:t>
            </w:r>
          </w:p>
        </w:tc>
      </w:tr>
      <w:tr>
        <w:tc>
          <w:tcPr>
            <w:tcW w:type="dxa" w:w="4819"/>
          </w:tcPr>
          <w:p>
            <w:r>
              <w:rPr>
                <w:sz w:val="20"/>
              </w:rPr>
              <w:t>Reach a portfolio milestone</w:t>
            </w:r>
          </w:p>
        </w:tc>
        <w:tc>
          <w:tcPr>
            <w:tcW w:type="dxa" w:w="4819"/>
          </w:tcPr>
          <w:p>
            <w:r>
              <w:rPr>
                <w:b/>
                <w:sz w:val="20"/>
              </w:rPr>
              <w:t>Portfolio Status</w:t>
            </w:r>
            <w:r>
              <w:rPr>
                <w:sz w:val="20"/>
              </w:rPr>
              <w:t xml:space="preserve"> (e.g. </w:t>
            </w:r>
            <w:r>
              <w:rPr>
                <w:rFonts w:ascii="Consolas" w:hAnsi="Consolas"/>
                <w:sz w:val="20"/>
              </w:rPr>
              <w:t>0 - Draft</w:t>
            </w:r>
            <w:r>
              <w:rPr>
                <w:sz w:val="20"/>
              </w:rPr>
              <w:t xml:space="preserve"> -&gt; </w:t>
            </w:r>
            <w:r>
              <w:rPr>
                <w:rFonts w:ascii="Consolas" w:hAnsi="Consolas"/>
                <w:sz w:val="20"/>
              </w:rPr>
              <w:t>1 - Approved</w:t>
            </w:r>
            <w:r>
              <w:rPr>
                <w:sz w:val="20"/>
              </w:rPr>
              <w:t>).</w:t>
            </w:r>
          </w:p>
        </w:tc>
      </w:tr>
    </w:tbl>
    <w:p/>
    <w:p>
      <w:pPr>
        <w:pStyle w:val="Heading2"/>
      </w:pPr>
      <w:r>
        <w:t>What PM/SM Cannot See / Edit</w:t>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Block</w:t>
            </w:r>
          </w:p>
        </w:tc>
        <w:tc>
          <w:tcPr>
            <w:tcW w:type="dxa" w:w="4819"/>
            <w:shd w:val="clear" w:color="auto" w:fill="0B3D91"/>
          </w:tcPr>
          <w:p>
            <w:r>
              <w:rPr>
                <w:b/>
                <w:color w:val="FFFFFF"/>
                <w:sz w:val="20"/>
              </w:rPr>
              <w:t>Who maintains it</w:t>
            </w:r>
          </w:p>
        </w:tc>
      </w:tr>
      <w:tr>
        <w:tc>
          <w:tcPr>
            <w:tcW w:type="dxa" w:w="4819"/>
          </w:tcPr>
          <w:p>
            <w:r>
              <w:rPr>
                <w:b/>
                <w:sz w:val="20"/>
              </w:rPr>
              <w:t>System Fields</w:t>
            </w:r>
            <w:r>
              <w:rPr>
                <w:sz w:val="20"/>
              </w:rPr>
              <w:t xml:space="preserve"> (ID, Security Group, Assignment Workflow)</w:t>
            </w:r>
          </w:p>
        </w:tc>
        <w:tc>
          <w:tcPr>
            <w:tcW w:type="dxa" w:w="4819"/>
          </w:tcPr>
          <w:p>
            <w:r>
              <w:rPr>
                <w:sz w:val="20"/>
              </w:rPr>
              <w:t>Admin Light / IT Controlling.</w:t>
            </w:r>
          </w:p>
        </w:tc>
      </w:tr>
      <w:tr>
        <w:tc>
          <w:tcPr>
            <w:tcW w:type="dxa" w:w="4819"/>
            <w:shd w:val="clear" w:color="auto" w:fill="F5F7FB"/>
          </w:tcPr>
          <w:p>
            <w:r>
              <w:rPr>
                <w:b/>
                <w:sz w:val="20"/>
              </w:rPr>
              <w:t>Dependency Section</w:t>
            </w:r>
            <w:r>
              <w:rPr>
                <w:sz w:val="20"/>
              </w:rPr>
              <w:t xml:space="preserve"> (predecessor / successor)</w:t>
            </w:r>
          </w:p>
        </w:tc>
        <w:tc>
          <w:tcPr>
            <w:tcW w:type="dxa" w:w="4819"/>
            <w:shd w:val="clear" w:color="auto" w:fill="F5F7FB"/>
          </w:tcPr>
          <w:p>
            <w:r>
              <w:rPr>
                <w:sz w:val="20"/>
              </w:rPr>
              <w:t>Admin Light / PPM.</w:t>
            </w:r>
          </w:p>
        </w:tc>
      </w:tr>
      <w:tr>
        <w:tc>
          <w:tcPr>
            <w:tcW w:type="dxa" w:w="4819"/>
          </w:tcPr>
          <w:p>
            <w:r>
              <w:rPr>
                <w:b/>
                <w:sz w:val="20"/>
              </w:rPr>
              <w:t>Financial Categories</w:t>
            </w:r>
            <w:r>
              <w:rPr>
                <w:sz w:val="20"/>
              </w:rPr>
              <w:t xml:space="preserve"> master data</w:t>
            </w:r>
          </w:p>
        </w:tc>
        <w:tc>
          <w:tcPr>
            <w:tcW w:type="dxa" w:w="4819"/>
          </w:tcPr>
          <w:p>
            <w:r>
              <w:rPr>
                <w:sz w:val="20"/>
              </w:rPr>
              <w:t>IT Controlling.</w:t>
            </w:r>
          </w:p>
        </w:tc>
      </w:tr>
      <w:tr>
        <w:tc>
          <w:tcPr>
            <w:tcW w:type="dxa" w:w="4819"/>
            <w:shd w:val="clear" w:color="auto" w:fill="F5F7FB"/>
          </w:tcPr>
          <w:p>
            <w:r>
              <w:rPr>
                <w:b/>
                <w:sz w:val="20"/>
              </w:rPr>
              <w:t>Resource Hierarchy</w:t>
            </w:r>
          </w:p>
        </w:tc>
        <w:tc>
          <w:tcPr>
            <w:tcW w:type="dxa" w:w="4819"/>
            <w:shd w:val="clear" w:color="auto" w:fill="F5F7FB"/>
          </w:tcPr>
          <w:p>
            <w:r>
              <w:rPr>
                <w:sz w:val="20"/>
              </w:rPr>
              <w:t>RM / Admin.</w:t>
            </w:r>
          </w:p>
        </w:tc>
      </w:tr>
    </w:tbl>
    <w:p/>
    <w:tbl>
      <w:tblPr>
        <w:tblW w:type="auto" w:w="0"/>
        <w:tblLook w:firstColumn="1" w:firstRow="1" w:lastColumn="0" w:lastRow="0" w:noHBand="0" w:noVBand="1" w:val="04A0"/>
      </w:tblPr>
      <w:tblGrid>
        <w:gridCol w:w="9972"/>
      </w:tblGrid>
      <w:tr>
        <w:tc>
          <w:tcPr>
            <w:tcW w:type="dxa" w:w="9972"/>
            <w:shd w:val="clear" w:color="auto" w:fill="EAF1FB"/>
          </w:tcPr>
          <w:p>
            <w:r>
              <w:rPr>
                <w:b/>
                <w:color w:val="0B3D91"/>
              </w:rPr>
              <w:t xml:space="preserve">Note: </w:t>
            </w:r>
            <w:r>
              <w:t>A red asterisk on a field that you cannot edit usually means another role has to set it. Reach out via the agreed channel rather than trying to work around it.</w:t>
            </w:r>
          </w:p>
        </w:tc>
      </w:tr>
    </w:tbl>
    <w:p/>
    <w:p>
      <w:pPr>
        <w:pStyle w:val="Heading2"/>
      </w:pPr>
      <w:r>
        <w:t>Saving</w:t>
      </w:r>
    </w:p>
    <w:tbl>
      <w:tblPr>
        <w:tblW w:type="auto" w:w="0"/>
        <w:tblLayout w:type="autofit"/>
        <w:tblLook w:firstColumn="1" w:firstRow="1" w:lastColumn="0" w:lastRow="0" w:noHBand="0" w:noVBand="1" w:val="04A0"/>
      </w:tblPr>
      <w:tblGrid>
        <w:gridCol w:w="9972"/>
      </w:tblGrid>
      <w:tr>
        <w:tc>
          <w:tcPr>
            <w:tcW w:type="dxa" w:w="9972"/>
            <w:shd w:val="clear" w:color="auto" w:fill="F5F0FF"/>
            <w:tcBorders>
              <w:top w:val="single" w:sz="4" w:color="C8D2E8"/>
              <w:left w:val="single" w:sz="4" w:color="C8D2E8"/>
              <w:bottom w:val="single" w:sz="4" w:color="C8D2E8"/>
              <w:right w:val="single" w:sz="4" w:color="C8D2E8"/>
            </w:tcBorders>
          </w:tcPr>
          <w:p>
            <w:r>
              <w:rPr>
                <w:b/>
                <w:color w:val="0B3D91"/>
                <w:sz w:val="22"/>
              </w:rPr>
              <w:t>How to</w:t>
            </w:r>
          </w:p>
          <w:p>
            <w:r>
              <w:rPr>
                <w:b/>
                <w:color w:val="0B3D91"/>
              </w:rPr>
              <w:t xml:space="preserve">1. </w:t>
            </w:r>
            <w:r>
              <w:t>Make your edits in the dropdowns / text fields.</w:t>
            </w:r>
          </w:p>
          <w:p>
            <w:r>
              <w:rPr>
                <w:b/>
                <w:color w:val="0B3D91"/>
              </w:rPr>
              <w:t xml:space="preserve">2. </w:t>
            </w:r>
            <w:r>
              <w:t xml:space="preserve">Click </w:t>
            </w:r>
            <w:r>
              <w:rPr>
                <w:b/>
              </w:rPr>
              <w:t>Save</w:t>
            </w:r>
            <w:r>
              <w:t xml:space="preserve"> in the top-left (green button).</w:t>
            </w:r>
          </w:p>
          <w:p>
            <w:r>
              <w:rPr>
                <w:b/>
                <w:color w:val="0B3D91"/>
              </w:rPr>
              <w:t xml:space="preserve">3. </w:t>
            </w:r>
            <w:r>
              <w:t>The CREATED / UPDATED badges at the top of the section refresh with your user.</w:t>
            </w:r>
          </w:p>
          <w:p>
            <w:r>
              <w:rPr>
                <w:b/>
                <w:color w:val="0B3D91"/>
              </w:rPr>
              <w:t xml:space="preserve">4. </w:t>
            </w:r>
            <w:r>
              <w:t xml:space="preserve">Move on to </w:t>
            </w:r>
            <w:r>
              <w:rPr>
                <w:b/>
              </w:rPr>
              <w:t>Allocations</w:t>
            </w:r>
            <w:r>
              <w:t xml:space="preserve"> or </w:t>
            </w:r>
            <w:r>
              <w:rPr>
                <w:b/>
              </w:rPr>
              <w:t>Financials</w:t>
            </w:r>
            <w:r>
              <w:t xml:space="preserve"> via the view selector.</w:t>
            </w:r>
          </w:p>
        </w:tc>
      </w:tr>
    </w:tbl>
    <w:p/>
    <w:tbl>
      <w:tblPr>
        <w:tblW w:type="auto" w:w="0"/>
        <w:tblLook w:firstColumn="1" w:firstRow="1" w:lastColumn="0" w:lastRow="0" w:noHBand="0" w:noVBand="1" w:val="04A0"/>
      </w:tblPr>
      <w:tblGrid>
        <w:gridCol w:w="9972"/>
      </w:tblGrid>
      <w:tr>
        <w:tc>
          <w:tcPr>
            <w:tcW w:type="dxa" w:w="9972"/>
            <w:shd w:val="clear" w:color="auto" w:fill="EAF7EE"/>
          </w:tcPr>
          <w:p>
            <w:r>
              <w:rPr>
                <w:b/>
                <w:color w:val="1E7A3C"/>
              </w:rPr>
              <w:t xml:space="preserve">Tip: </w:t>
            </w:r>
            <w:r>
              <w:t xml:space="preserve">Use </w:t>
            </w:r>
            <w:r>
              <w:rPr>
                <w:b/>
              </w:rPr>
              <w:t>Search</w:t>
            </w:r>
            <w:r>
              <w:t xml:space="preserve"> in the Project Management grid to find your project again, even after you renamed it - search is contains-based.</w:t>
            </w:r>
          </w:p>
        </w:tc>
      </w:tr>
    </w:tbl>
    <w:p/>
    <w:p>
      <w:pPr>
        <w:pStyle w:val="Heading1"/>
      </w:pPr>
      <w:r>
        <w:t>Project vs. Service</w:t>
      </w:r>
    </w:p>
    <w:tbl>
      <w:tblPr>
        <w:tblW w:type="auto" w:w="0"/>
        <w:tblLayout w:type="autofit"/>
        <w:tblLook w:firstColumn="1" w:firstRow="1" w:lastColumn="0" w:lastRow="0" w:noHBand="0" w:noVBand="1" w:val="04A0"/>
      </w:tblPr>
      <w:tblGrid>
        <w:gridCol w:w="9972"/>
      </w:tblGrid>
      <w:tr>
        <w:tc>
          <w:tcPr>
            <w:tcW w:type="dxa" w:w="1474"/>
            <w:shd w:val="clear" w:color="auto" w:fill="0B3D91"/>
          </w:tcPr>
          <w:p>
            <w:pPr>
              <w:jc w:val="center"/>
            </w:pPr>
            <w:r>
              <w:rPr>
                <w:b/>
                <w:color w:val="FFFFFF"/>
                <w:sz w:val="18"/>
              </w:rPr>
              <w:t>PM/SM</w:t>
            </w:r>
          </w:p>
        </w:tc>
      </w:tr>
    </w:tbl>
    <w:p/>
    <w:p>
      <w:r>
        <w:rPr>
          <w:b/>
        </w:rPr>
        <w:t>Type</w:t>
      </w:r>
      <w:r>
        <w:t xml:space="preserve"> chooses the template family: </w:t>
      </w:r>
      <w:r>
        <w:rPr>
          <w:b/>
        </w:rPr>
        <w:t>Project</w:t>
      </w:r>
      <w:r>
        <w:t xml:space="preserve"> for time-boxed delivery trains, </w:t>
      </w:r>
      <w:r>
        <w:rPr>
          <w:b/>
        </w:rPr>
        <w:t>Service</w:t>
      </w:r>
      <w:r>
        <w:t xml:space="preserve"> for evergreen business capabilities. The UI shell is the same; variance is which attributes default, how roll-ups tag and which policies Controlling applies.</w:t>
      </w:r>
    </w:p>
    <w:p>
      <w:r>
        <w:t xml:space="preserve">Phase </w:t>
      </w:r>
      <w:r>
        <w:rPr>
          <w:b/>
        </w:rPr>
        <w:t>1</w:t>
      </w:r>
      <w:r>
        <w:t xml:space="preserve"> onboarding for PM/SM is about </w:t>
      </w:r>
      <w:r>
        <w:rPr>
          <w:b/>
        </w:rPr>
        <w:t>Regular Projects</w:t>
      </w:r>
      <w:r>
        <w:t xml:space="preserve"> creation. </w:t>
      </w:r>
      <w:r>
        <w:rPr>
          <w:b/>
        </w:rPr>
        <w:t>Services</w:t>
      </w:r>
      <w:r>
        <w:t xml:space="preserve"> are provisioned by RM / Controlling governance; you still maintain master data and Financials on services you steward, but deliberate </w:t>
      </w:r>
      <w:r>
        <w:rPr>
          <w:b/>
        </w:rPr>
        <w:t>Manday staffing for services is out of scope year one</w:t>
      </w:r>
      <w:r>
        <w:t xml:space="preserve"> per Knauf steering — document demand elsewhere only if Controlling explicitly agrees to avoid shadow planning.</w:t>
      </w:r>
    </w:p>
    <w:p>
      <w:r>
        <w:t xml:space="preserve">Practical tells: names like </w:t>
      </w:r>
      <w:r>
        <w:rPr>
          <w:rFonts w:ascii="Consolas" w:hAnsi="Consolas"/>
          <w:sz w:val="20"/>
        </w:rPr>
        <w:t>Service CRM</w:t>
      </w:r>
      <w:r>
        <w:t xml:space="preserve"> flag service mode, while long </w:t>
      </w:r>
      <w:r>
        <w:rPr>
          <w:rFonts w:ascii="Consolas" w:hAnsi="Consolas"/>
          <w:sz w:val="20"/>
        </w:rPr>
        <w:t>XU | GLO | …</w:t>
      </w:r>
      <w:r>
        <w:t xml:space="preserve"> prefixes usually mean project delivery. Toggle a </w:t>
      </w:r>
      <w:r>
        <w:rPr>
          <w:b/>
        </w:rPr>
        <w:t>Type</w:t>
      </w:r>
      <w:r>
        <w:t xml:space="preserve"> column through </w:t>
      </w:r>
      <w:r>
        <w:rPr>
          <w:b/>
        </w:rPr>
        <w:t>Columns</w:t>
      </w:r>
      <w:r>
        <w:t>, then save a filtered view if you only want one family on screen.</w:t>
      </w:r>
    </w:p>
    <w:p>
      <w:r>
        <w:t xml:space="preserve">Vendor-neutral explainers such as </w:t>
      </w:r>
      <w:r>
        <w:rPr>
          <w:i/>
        </w:rPr>
        <w:t>Project Management Grid Views</w:t>
      </w:r>
      <w:r>
        <w:t xml:space="preserve"> and </w:t>
      </w:r>
      <w:r>
        <w:rPr>
          <w:i/>
        </w:rPr>
        <w:t>Resource Management Grid Views</w:t>
      </w:r>
      <w:r>
        <w:t xml:space="preserve"> pair well with this Knauf-specific rule set when you need more screenshot-led storytelling.</w:t>
      </w:r>
    </w:p>
    <w:tbl>
      <w:tblPr>
        <w:tblW w:type="auto" w:w="0"/>
        <w:tblLook w:firstColumn="1" w:firstRow="1" w:lastColumn="0" w:lastRow="0" w:noHBand="0" w:noVBand="1" w:val="04A0"/>
      </w:tblPr>
      <w:tblGrid>
        <w:gridCol w:w="9972"/>
      </w:tblGrid>
      <w:tr>
        <w:tc>
          <w:tcPr>
            <w:tcW w:type="dxa" w:w="9972"/>
            <w:shd w:val="clear" w:color="auto" w:fill="EAF1FB"/>
          </w:tcPr>
          <w:p>
            <w:r>
              <w:rPr>
                <w:b/>
                <w:color w:val="0B3D91"/>
              </w:rPr>
              <w:t xml:space="preserve">Note: </w:t>
            </w:r>
            <w:r>
              <w:t>Escalate roadmap pressure for service-side labor planning through IT Controlling — do not fork parallel Excel capacity models.</w:t>
            </w:r>
          </w:p>
        </w:tc>
      </w:tr>
    </w:tbl>
    <w:p/>
    <w:p>
      <w:pPr>
        <w:pStyle w:val="Heading1"/>
      </w:pPr>
      <w:r>
        <w:t>Plan Resources (Allocations)</w:t>
      </w:r>
    </w:p>
    <w:tbl>
      <w:tblPr>
        <w:tblW w:type="auto" w:w="0"/>
        <w:tblLayout w:type="autofit"/>
        <w:tblLook w:firstColumn="1" w:firstRow="1" w:lastColumn="0" w:lastRow="0" w:noHBand="0" w:noVBand="1" w:val="04A0"/>
      </w:tblPr>
      <w:tblGrid>
        <w:gridCol w:w="4986"/>
        <w:gridCol w:w="4986"/>
      </w:tblGrid>
      <w:tr>
        <w:tc>
          <w:tcPr>
            <w:tcW w:type="dxa" w:w="1474"/>
            <w:shd w:val="clear" w:color="auto" w:fill="0B3D91"/>
          </w:tcPr>
          <w:p>
            <w:pPr>
              <w:jc w:val="center"/>
            </w:pPr>
            <w:r>
              <w:rPr>
                <w:b/>
                <w:color w:val="FFFFFF"/>
                <w:sz w:val="18"/>
              </w:rPr>
              <w:t>PM/SM</w:t>
            </w:r>
          </w:p>
        </w:tc>
        <w:tc>
          <w:tcPr>
            <w:tcW w:type="dxa" w:w="1474"/>
            <w:shd w:val="clear" w:color="auto" w:fill="1E7A3C"/>
          </w:tcPr>
          <w:p>
            <w:pPr>
              <w:jc w:val="center"/>
            </w:pPr>
            <w:r>
              <w:rPr>
                <w:b/>
                <w:color w:val="FFFFFF"/>
                <w:sz w:val="18"/>
              </w:rPr>
              <w:t>RM</w:t>
            </w:r>
          </w:p>
        </w:tc>
      </w:tr>
    </w:tbl>
    <w:p/>
    <w:tbl>
      <w:tblPr>
        <w:tblW w:type="auto" w:w="0"/>
        <w:tblLayout w:type="autofit"/>
        <w:tblLook w:firstColumn="1" w:firstRow="1" w:lastColumn="0" w:lastRow="0" w:noHBand="0" w:noVBand="1" w:val="04A0"/>
      </w:tblPr>
      <w:tblGrid>
        <w:gridCol w:w="9972"/>
      </w:tblGrid>
      <w:tr>
        <w:tc>
          <w:tcPr>
            <w:tcW w:type="dxa" w:w="9972"/>
            <w:shd w:val="clear" w:color="auto" w:fill="EAF3FF"/>
            <w:tcBorders>
              <w:top w:val="single" w:sz="4" w:color="C8D2E8"/>
              <w:left w:val="single" w:sz="4" w:color="C8D2E8"/>
              <w:bottom w:val="single" w:sz="4" w:color="C8D2E8"/>
              <w:right w:val="single" w:sz="4" w:color="C8D2E8"/>
            </w:tcBorders>
          </w:tcPr>
          <w:p>
            <w:r>
              <w:rPr>
                <w:b/>
                <w:color w:val="0B3D91"/>
                <w:sz w:val="22"/>
              </w:rPr>
              <w:t>At a glance</w:t>
            </w:r>
          </w:p>
          <w:p>
            <w:r>
              <w:rPr>
                <w:b/>
                <w:color w:val="0B3D91"/>
              </w:rPr>
              <w:t xml:space="preserve">• </w:t>
            </w:r>
            <w:r>
              <w:t xml:space="preserve">The </w:t>
            </w:r>
            <w:r>
              <w:rPr>
                <w:b/>
              </w:rPr>
              <w:t>Allocations</w:t>
            </w:r>
            <w:r>
              <w:t xml:space="preserve"> view of a project is the home for resource planning. PM/SM works here for their own projects; RM uses it when supporting a specific project.</w:t>
            </w:r>
          </w:p>
          <w:p>
            <w:r>
              <w:rPr>
                <w:b/>
                <w:color w:val="0B3D91"/>
              </w:rPr>
              <w:t xml:space="preserve">• </w:t>
            </w:r>
            <w:r>
              <w:t xml:space="preserve">Standard unit at Knauf is </w:t>
            </w:r>
            <w:r>
              <w:rPr>
                <w:b/>
              </w:rPr>
              <w:t>Manday</w:t>
            </w:r>
            <w:r>
              <w:t xml:space="preserve">; switch to </w:t>
            </w:r>
            <w:r>
              <w:rPr>
                <w:b/>
              </w:rPr>
              <w:t>€ Cost</w:t>
            </w:r>
            <w:r>
              <w:t xml:space="preserve"> for a live euro view.</w:t>
            </w:r>
          </w:p>
          <w:p>
            <w:r>
              <w:rPr>
                <w:b/>
                <w:color w:val="0B3D91"/>
              </w:rPr>
              <w:t xml:space="preserve">• </w:t>
            </w:r>
            <w:r>
              <w:t xml:space="preserve">Default grain is </w:t>
            </w:r>
            <w:r>
              <w:rPr>
                <w:b/>
              </w:rPr>
              <w:t>Month</w:t>
            </w:r>
            <w:r>
              <w:t>. You can change to Day, Week, Quarter, or Year.</w:t>
            </w:r>
          </w:p>
          <w:p>
            <w:r>
              <w:rPr>
                <w:b/>
                <w:color w:val="0B3D91"/>
              </w:rPr>
              <w:t xml:space="preserve">• </w:t>
            </w:r>
            <w:r>
              <w:t xml:space="preserve">Editing requires </w:t>
            </w:r>
            <w:r>
              <w:rPr>
                <w:b/>
              </w:rPr>
              <w:t>Checkout</w:t>
            </w:r>
            <w:r>
              <w:t xml:space="preserve"> first. Save with </w:t>
            </w:r>
            <w:r>
              <w:rPr>
                <w:b/>
              </w:rPr>
              <w:t>Check In</w:t>
            </w:r>
            <w:r>
              <w:t xml:space="preserve">; release without saving with </w:t>
            </w:r>
            <w:r>
              <w:rPr>
                <w:b/>
              </w:rPr>
              <w:t>Release</w:t>
            </w:r>
            <w:r>
              <w:t>.</w:t>
            </w:r>
          </w:p>
        </w:tc>
      </w:tr>
    </w:tbl>
    <w:p/>
    <w:p>
      <w:pPr>
        <w:pStyle w:val="Heading2"/>
      </w:pPr>
      <w:r>
        <w:t>Open the Grid</w:t>
      </w:r>
    </w:p>
    <w:p>
      <w:r>
        <w:t xml:space="preserve">From within an opened project, switch the view selector to </w:t>
      </w:r>
      <w:r>
        <w:rPr>
          <w:b/>
        </w:rPr>
        <w:t>Allocations</w:t>
      </w:r>
      <w:r>
        <w:t xml:space="preserve">. The grid honours the project's planned horizon, groups demand rows, and honours the Checkout workflow described later in this booklet. Monthly </w:t>
      </w:r>
      <w:r>
        <w:rPr>
          <w:b/>
        </w:rPr>
        <w:t>Manday</w:t>
      </w:r>
      <w:r>
        <w:t xml:space="preserve"> granularity remains the Phase 1 default; heatmaps tint once data exists. Rather than occupying the entire page height, we inline a tightened crop centred on planning cells so narration and visual reinforce each SHS-style explanation beat. </w:t>
      </w:r>
      <w:r>
        <w:drawing>
          <wp:inline xmlns:a="http://schemas.openxmlformats.org/drawingml/2006/main" xmlns:pic="http://schemas.openxmlformats.org/drawingml/2006/picture">
            <wp:extent cx="3311999" cy="3085593"/>
            <wp:docPr id="25" name="Picture 25"/>
            <wp:cNvGraphicFramePr>
              <a:graphicFrameLocks noChangeAspect="1"/>
            </wp:cNvGraphicFramePr>
            <a:graphic>
              <a:graphicData uri="http://schemas.openxmlformats.org/drawingml/2006/picture">
                <pic:pic>
                  <pic:nvPicPr>
                    <pic:cNvPr id="0" name="qrg_07_allocations_manday_pmsm.png"/>
                    <pic:cNvPicPr/>
                  </pic:nvPicPr>
                  <pic:blipFill>
                    <a:blip r:embed="rId28"/>
                    <a:stretch>
                      <a:fillRect/>
                    </a:stretch>
                  </pic:blipFill>
                  <pic:spPr>
                    <a:xfrm>
                      <a:off x="0" y="0"/>
                      <a:ext cx="3311999" cy="3085593"/>
                    </a:xfrm>
                    <a:prstGeom prst="rect"/>
                  </pic:spPr>
                </pic:pic>
              </a:graphicData>
            </a:graphic>
          </wp:inline>
        </w:drawing>
      </w:r>
    </w:p>
    <w:p>
      <w:pPr>
        <w:pStyle w:val="Heading2"/>
      </w:pPr>
      <w:r>
        <w:t>Toolbar Reference</w:t>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Control</w:t>
            </w:r>
          </w:p>
        </w:tc>
        <w:tc>
          <w:tcPr>
            <w:tcW w:type="dxa" w:w="4819"/>
            <w:shd w:val="clear" w:color="auto" w:fill="0B3D91"/>
          </w:tcPr>
          <w:p>
            <w:r>
              <w:rPr>
                <w:b/>
                <w:color w:val="FFFFFF"/>
                <w:sz w:val="20"/>
              </w:rPr>
              <w:t>Purpose</w:t>
            </w:r>
          </w:p>
        </w:tc>
      </w:tr>
      <w:tr>
        <w:tc>
          <w:tcPr>
            <w:tcW w:type="dxa" w:w="4819"/>
          </w:tcPr>
          <w:p>
            <w:r>
              <w:rPr>
                <w:b/>
                <w:sz w:val="20"/>
              </w:rPr>
              <w:t>Checkout</w:t>
            </w:r>
            <w:r>
              <w:rPr>
                <w:sz w:val="20"/>
              </w:rPr>
              <w:t xml:space="preserve"> (green)</w:t>
            </w:r>
          </w:p>
        </w:tc>
        <w:tc>
          <w:tcPr>
            <w:tcW w:type="dxa" w:w="4819"/>
          </w:tcPr>
          <w:p>
            <w:r>
              <w:rPr>
                <w:sz w:val="20"/>
              </w:rPr>
              <w:t>Acquire the edit lock.</w:t>
            </w:r>
          </w:p>
        </w:tc>
      </w:tr>
      <w:tr>
        <w:tc>
          <w:tcPr>
            <w:tcW w:type="dxa" w:w="4819"/>
            <w:shd w:val="clear" w:color="auto" w:fill="F5F7FB"/>
          </w:tcPr>
          <w:p>
            <w:r>
              <w:rPr>
                <w:b/>
                <w:sz w:val="20"/>
              </w:rPr>
              <w:t>Start / End date</w:t>
            </w:r>
          </w:p>
        </w:tc>
        <w:tc>
          <w:tcPr>
            <w:tcW w:type="dxa" w:w="4819"/>
            <w:shd w:val="clear" w:color="auto" w:fill="F5F7FB"/>
          </w:tcPr>
          <w:p>
            <w:r>
              <w:rPr>
                <w:sz w:val="20"/>
              </w:rPr>
              <w:t>Restrict the visible window.</w:t>
            </w:r>
          </w:p>
        </w:tc>
      </w:tr>
      <w:tr>
        <w:tc>
          <w:tcPr>
            <w:tcW w:type="dxa" w:w="4819"/>
          </w:tcPr>
          <w:p>
            <w:r>
              <w:rPr>
                <w:b/>
                <w:sz w:val="20"/>
              </w:rPr>
              <w:t>Shift</w:t>
            </w:r>
          </w:p>
        </w:tc>
        <w:tc>
          <w:tcPr>
            <w:tcW w:type="dxa" w:w="4819"/>
          </w:tcPr>
          <w:p>
            <w:r>
              <w:rPr>
                <w:sz w:val="20"/>
              </w:rPr>
              <w:t>Bulk-shift assignments by N months.</w:t>
            </w:r>
          </w:p>
        </w:tc>
      </w:tr>
      <w:tr>
        <w:tc>
          <w:tcPr>
            <w:tcW w:type="dxa" w:w="4819"/>
            <w:shd w:val="clear" w:color="auto" w:fill="F5F7FB"/>
          </w:tcPr>
          <w:p>
            <w:r>
              <w:rPr>
                <w:b/>
                <w:sz w:val="20"/>
              </w:rPr>
              <w:t>Allocation / Assignment</w:t>
            </w:r>
            <w:r>
              <w:rPr>
                <w:sz w:val="20"/>
              </w:rPr>
              <w:t xml:space="preserve"> toggle</w:t>
            </w:r>
          </w:p>
        </w:tc>
        <w:tc>
          <w:tcPr>
            <w:tcW w:type="dxa" w:w="4819"/>
            <w:shd w:val="clear" w:color="auto" w:fill="F5F7FB"/>
          </w:tcPr>
          <w:p>
            <w:r>
              <w:rPr>
                <w:sz w:val="20"/>
              </w:rPr>
              <w:t>Switch between project-level and assignment-level edits.</w:t>
            </w:r>
          </w:p>
        </w:tc>
      </w:tr>
      <w:tr>
        <w:tc>
          <w:tcPr>
            <w:tcW w:type="dxa" w:w="4819"/>
          </w:tcPr>
          <w:p>
            <w:r>
              <w:rPr>
                <w:b/>
                <w:sz w:val="20"/>
              </w:rPr>
              <w:t>Planned / Actual</w:t>
            </w:r>
          </w:p>
        </w:tc>
        <w:tc>
          <w:tcPr>
            <w:tcW w:type="dxa" w:w="4819"/>
          </w:tcPr>
          <w:p>
            <w:r>
              <w:rPr>
                <w:sz w:val="20"/>
              </w:rPr>
              <w:t>Switch the editable series.</w:t>
            </w:r>
          </w:p>
        </w:tc>
      </w:tr>
      <w:tr>
        <w:tc>
          <w:tcPr>
            <w:tcW w:type="dxa" w:w="4819"/>
            <w:shd w:val="clear" w:color="auto" w:fill="F5F7FB"/>
          </w:tcPr>
          <w:p>
            <w:r>
              <w:rPr>
                <w:b/>
                <w:sz w:val="20"/>
              </w:rPr>
              <w:t>Expand all</w:t>
            </w:r>
          </w:p>
        </w:tc>
        <w:tc>
          <w:tcPr>
            <w:tcW w:type="dxa" w:w="4819"/>
            <w:shd w:val="clear" w:color="auto" w:fill="F5F7FB"/>
          </w:tcPr>
          <w:p>
            <w:r>
              <w:rPr>
                <w:sz w:val="20"/>
              </w:rPr>
              <w:t>Open all groups.</w:t>
            </w:r>
          </w:p>
        </w:tc>
      </w:tr>
      <w:tr>
        <w:tc>
          <w:tcPr>
            <w:tcW w:type="dxa" w:w="4819"/>
          </w:tcPr>
          <w:p>
            <w:r>
              <w:rPr>
                <w:b/>
                <w:sz w:val="20"/>
              </w:rPr>
              <w:t>Options</w:t>
            </w:r>
            <w:r>
              <w:rPr>
                <w:sz w:val="20"/>
              </w:rPr>
              <w:t xml:space="preserve"> (gear)</w:t>
            </w:r>
          </w:p>
        </w:tc>
        <w:tc>
          <w:tcPr>
            <w:tcW w:type="dxa" w:w="4819"/>
          </w:tcPr>
          <w:p>
            <w:r>
              <w:rPr>
                <w:sz w:val="20"/>
              </w:rPr>
              <w:t>Heatmaps, totals, filters.</w:t>
            </w:r>
          </w:p>
        </w:tc>
      </w:tr>
      <w:tr>
        <w:tc>
          <w:tcPr>
            <w:tcW w:type="dxa" w:w="4819"/>
            <w:shd w:val="clear" w:color="auto" w:fill="F5F7FB"/>
          </w:tcPr>
          <w:p>
            <w:r>
              <w:rPr>
                <w:b/>
                <w:sz w:val="20"/>
              </w:rPr>
              <w:t>Excel export</w:t>
            </w:r>
          </w:p>
        </w:tc>
        <w:tc>
          <w:tcPr>
            <w:tcW w:type="dxa" w:w="4819"/>
            <w:shd w:val="clear" w:color="auto" w:fill="F5F7FB"/>
          </w:tcPr>
          <w:p>
            <w:r>
              <w:rPr>
                <w:sz w:val="20"/>
              </w:rPr>
              <w:t>Export the current grid.</w:t>
            </w:r>
          </w:p>
        </w:tc>
      </w:tr>
      <w:tr>
        <w:tc>
          <w:tcPr>
            <w:tcW w:type="dxa" w:w="4819"/>
          </w:tcPr>
          <w:p>
            <w:r>
              <w:rPr>
                <w:b/>
                <w:sz w:val="20"/>
              </w:rPr>
              <w:t>Group by</w:t>
            </w:r>
          </w:p>
        </w:tc>
        <w:tc>
          <w:tcPr>
            <w:tcW w:type="dxa" w:w="4819"/>
          </w:tcPr>
          <w:p>
            <w:r>
              <w:rPr>
                <w:sz w:val="20"/>
              </w:rPr>
              <w:t>Group rows by attribute.</w:t>
            </w:r>
          </w:p>
        </w:tc>
      </w:tr>
      <w:tr>
        <w:tc>
          <w:tcPr>
            <w:tcW w:type="dxa" w:w="4819"/>
            <w:shd w:val="clear" w:color="auto" w:fill="F5F7FB"/>
          </w:tcPr>
          <w:p>
            <w:r>
              <w:rPr>
                <w:b/>
                <w:sz w:val="20"/>
              </w:rPr>
              <w:t>Insert columns</w:t>
            </w:r>
          </w:p>
        </w:tc>
        <w:tc>
          <w:tcPr>
            <w:tcW w:type="dxa" w:w="4819"/>
            <w:shd w:val="clear" w:color="auto" w:fill="F5F7FB"/>
          </w:tcPr>
          <w:p>
            <w:r>
              <w:rPr>
                <w:sz w:val="20"/>
              </w:rPr>
              <w:t>Add resource / project / assignment attributes as columns.</w:t>
            </w:r>
          </w:p>
        </w:tc>
      </w:tr>
      <w:tr>
        <w:tc>
          <w:tcPr>
            <w:tcW w:type="dxa" w:w="4819"/>
          </w:tcPr>
          <w:p>
            <w:r>
              <w:rPr>
                <w:b/>
                <w:sz w:val="20"/>
              </w:rPr>
              <w:t>Grain selector</w:t>
            </w:r>
          </w:p>
        </w:tc>
        <w:tc>
          <w:tcPr>
            <w:tcW w:type="dxa" w:w="4819"/>
          </w:tcPr>
          <w:p>
            <w:r>
              <w:rPr>
                <w:sz w:val="20"/>
              </w:rPr>
              <w:t>Day / Week / Month (default) / Quarter / Year.</w:t>
            </w:r>
          </w:p>
        </w:tc>
      </w:tr>
      <w:tr>
        <w:tc>
          <w:tcPr>
            <w:tcW w:type="dxa" w:w="4819"/>
            <w:shd w:val="clear" w:color="auto" w:fill="F5F7FB"/>
          </w:tcPr>
          <w:p>
            <w:r>
              <w:rPr>
                <w:b/>
                <w:sz w:val="20"/>
              </w:rPr>
              <w:t>Unit tabs</w:t>
            </w:r>
          </w:p>
        </w:tc>
        <w:tc>
          <w:tcPr>
            <w:tcW w:type="dxa" w:w="4819"/>
            <w:shd w:val="clear" w:color="auto" w:fill="F5F7FB"/>
          </w:tcPr>
          <w:p>
            <w:r>
              <w:rPr>
                <w:sz w:val="20"/>
              </w:rPr>
              <w:t>Time, € Cost, FTE, FTE %, Manday (default), Gantt.</w:t>
            </w:r>
          </w:p>
        </w:tc>
      </w:tr>
    </w:tbl>
    <w:p/>
    <w:p>
      <w:pPr>
        <w:pStyle w:val="Heading2"/>
      </w:pPr>
      <w:r>
        <w:t>Add a Resource</w:t>
      </w:r>
    </w:p>
    <w:tbl>
      <w:tblPr>
        <w:tblW w:type="auto" w:w="0"/>
        <w:tblLayout w:type="autofit"/>
        <w:tblLook w:firstColumn="1" w:firstRow="1" w:lastColumn="0" w:lastRow="0" w:noHBand="0" w:noVBand="1" w:val="04A0"/>
      </w:tblPr>
      <w:tblGrid>
        <w:gridCol w:w="9972"/>
      </w:tblGrid>
      <w:tr>
        <w:tc>
          <w:tcPr>
            <w:tcW w:type="dxa" w:w="9972"/>
            <w:shd w:val="clear" w:color="auto" w:fill="F5F0FF"/>
            <w:tcBorders>
              <w:top w:val="single" w:sz="4" w:color="C8D2E8"/>
              <w:left w:val="single" w:sz="4" w:color="C8D2E8"/>
              <w:bottom w:val="single" w:sz="4" w:color="C8D2E8"/>
              <w:right w:val="single" w:sz="4" w:color="C8D2E8"/>
            </w:tcBorders>
          </w:tcPr>
          <w:p>
            <w:r>
              <w:rPr>
                <w:b/>
                <w:color w:val="0B3D91"/>
                <w:sz w:val="22"/>
              </w:rPr>
              <w:t>How to</w:t>
            </w:r>
          </w:p>
          <w:p>
            <w:r>
              <w:rPr>
                <w:b/>
                <w:color w:val="0B3D91"/>
              </w:rPr>
              <w:t xml:space="preserve">1. </w:t>
            </w:r>
            <w:r>
              <w:t xml:space="preserve">Click </w:t>
            </w:r>
            <w:r>
              <w:rPr>
                <w:b/>
              </w:rPr>
              <w:t>Checkout</w:t>
            </w:r>
            <w:r>
              <w:t xml:space="preserve"> to acquire the lock.</w:t>
            </w:r>
          </w:p>
          <w:p>
            <w:r>
              <w:rPr>
                <w:b/>
                <w:color w:val="0B3D91"/>
              </w:rPr>
              <w:t xml:space="preserve">2. </w:t>
            </w:r>
            <w:r>
              <w:t xml:space="preserve">In the empty row at the bottom of the grid, start typing the resource role (for example </w:t>
            </w:r>
            <w:r>
              <w:rPr>
                <w:rFonts w:ascii="Consolas" w:hAnsi="Consolas"/>
                <w:sz w:val="20"/>
              </w:rPr>
              <w:t>*Business Analyst</w:t>
            </w:r>
            <w:r>
              <w:t>).</w:t>
            </w:r>
          </w:p>
          <w:p>
            <w:r>
              <w:rPr>
                <w:b/>
                <w:color w:val="0B3D91"/>
              </w:rPr>
              <w:t xml:space="preserve">3. </w:t>
            </w:r>
            <w:r>
              <w:t>Pick the role from the dropdown - a new row appears.</w:t>
            </w:r>
          </w:p>
          <w:p>
            <w:r>
              <w:rPr>
                <w:b/>
                <w:color w:val="0B3D91"/>
              </w:rPr>
              <w:t xml:space="preserve">4. </w:t>
            </w:r>
            <w:r>
              <w:t>Enter planned Mandays per month in each cell. Drag, copy-paste, or use the keyboard to fill ranges.</w:t>
            </w:r>
          </w:p>
          <w:p>
            <w:r>
              <w:rPr>
                <w:b/>
                <w:color w:val="0B3D91"/>
              </w:rPr>
              <w:t xml:space="preserve">5. </w:t>
            </w:r>
            <w:r>
              <w:t xml:space="preserve">Click </w:t>
            </w:r>
            <w:r>
              <w:rPr>
                <w:b/>
              </w:rPr>
              <w:t>Save and Check In</w:t>
            </w:r>
            <w:r>
              <w:t xml:space="preserve"> at the top to persist; this also creates the resource request for RM approval.</w:t>
            </w:r>
          </w:p>
        </w:tc>
      </w:tr>
    </w:tbl>
    <w:p/>
    <w:tbl>
      <w:tblPr>
        <w:tblW w:type="auto" w:w="0"/>
        <w:tblLook w:firstColumn="1" w:firstRow="1" w:lastColumn="0" w:lastRow="0" w:noHBand="0" w:noVBand="1" w:val="04A0"/>
      </w:tblPr>
      <w:tblGrid>
        <w:gridCol w:w="9972"/>
      </w:tblGrid>
      <w:tr>
        <w:tc>
          <w:tcPr>
            <w:tcW w:type="dxa" w:w="9972"/>
            <w:shd w:val="clear" w:color="auto" w:fill="EAF7EE"/>
          </w:tcPr>
          <w:p>
            <w:r>
              <w:rPr>
                <w:b/>
                <w:color w:val="1E7A3C"/>
              </w:rPr>
              <w:t xml:space="preserve">Tip: </w:t>
            </w:r>
            <w:r>
              <w:t xml:space="preserve">The </w:t>
            </w:r>
            <w:r>
              <w:rPr>
                <w:rFonts w:ascii="Consolas" w:hAnsi="Consolas"/>
                <w:sz w:val="20"/>
              </w:rPr>
              <w:t>*</w:t>
            </w:r>
            <w:r>
              <w:t xml:space="preserve"> prefix marks demand-planning (generic) roles. Use them in early planning; let RM replace them with named resources via the Build Team view as the project firms up.</w:t>
            </w:r>
          </w:p>
        </w:tc>
      </w:tr>
    </w:tbl>
    <w:p/>
    <w:p>
      <w:pPr>
        <w:pStyle w:val="Heading2"/>
      </w:pPr>
      <w:r>
        <w:t>Switch to € Cost</w:t>
      </w:r>
    </w:p>
    <w:p>
      <w:r>
        <w:t xml:space="preserve">Click the </w:t>
      </w:r>
      <w:r>
        <w:rPr>
          <w:b/>
        </w:rPr>
        <w:t>€ Cost</w:t>
      </w:r>
      <w:r>
        <w:t xml:space="preserve"> tab to see the same allocation expressed in euro. Figures stay derived—you never type currency directly—and update when Mandays or rate tables shift. Keeping the excerpt narrow preserves the handbook feeling: text calls out behaviours, screenshot proves the visuals. </w:t>
      </w:r>
      <w:r>
        <w:drawing>
          <wp:inline xmlns:a="http://schemas.openxmlformats.org/drawingml/2006/main" xmlns:pic="http://schemas.openxmlformats.org/drawingml/2006/picture">
            <wp:extent cx="3311999" cy="3085593"/>
            <wp:docPr id="26" name="Picture 26"/>
            <wp:cNvGraphicFramePr>
              <a:graphicFrameLocks noChangeAspect="1"/>
            </wp:cNvGraphicFramePr>
            <a:graphic>
              <a:graphicData uri="http://schemas.openxmlformats.org/drawingml/2006/picture">
                <pic:pic>
                  <pic:nvPicPr>
                    <pic:cNvPr id="0" name="qrg_08_allocations_cost_pmsm.png"/>
                    <pic:cNvPicPr/>
                  </pic:nvPicPr>
                  <pic:blipFill>
                    <a:blip r:embed="rId29"/>
                    <a:stretch>
                      <a:fillRect/>
                    </a:stretch>
                  </pic:blipFill>
                  <pic:spPr>
                    <a:xfrm>
                      <a:off x="0" y="0"/>
                      <a:ext cx="3311999" cy="3085593"/>
                    </a:xfrm>
                    <a:prstGeom prst="rect"/>
                  </pic:spPr>
                </pic:pic>
              </a:graphicData>
            </a:graphic>
          </wp:inline>
        </w:drawing>
      </w:r>
    </w:p>
    <w:p>
      <w:pPr>
        <w:pStyle w:val="Heading2"/>
      </w:pPr>
      <w:r>
        <w:t>Save vs. Release</w:t>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Button</w:t>
            </w:r>
          </w:p>
        </w:tc>
        <w:tc>
          <w:tcPr>
            <w:tcW w:type="dxa" w:w="4819"/>
            <w:shd w:val="clear" w:color="auto" w:fill="0B3D91"/>
          </w:tcPr>
          <w:p>
            <w:r>
              <w:rPr>
                <w:b/>
                <w:color w:val="FFFFFF"/>
                <w:sz w:val="20"/>
              </w:rPr>
              <w:t>When to use</w:t>
            </w:r>
          </w:p>
        </w:tc>
      </w:tr>
      <w:tr>
        <w:tc>
          <w:tcPr>
            <w:tcW w:type="dxa" w:w="4819"/>
          </w:tcPr>
          <w:p>
            <w:r>
              <w:rPr>
                <w:b/>
                <w:sz w:val="20"/>
              </w:rPr>
              <w:t>Save and Check In</w:t>
            </w:r>
          </w:p>
        </w:tc>
        <w:tc>
          <w:tcPr>
            <w:tcW w:type="dxa" w:w="4819"/>
          </w:tcPr>
          <w:p>
            <w:r>
              <w:rPr>
                <w:sz w:val="20"/>
              </w:rPr>
              <w:t>Keep the edits and release the lock. Creates / updates resource requests.</w:t>
            </w:r>
          </w:p>
        </w:tc>
      </w:tr>
      <w:tr>
        <w:tc>
          <w:tcPr>
            <w:tcW w:type="dxa" w:w="4819"/>
            <w:shd w:val="clear" w:color="auto" w:fill="F5F7FB"/>
          </w:tcPr>
          <w:p>
            <w:r>
              <w:rPr>
                <w:b/>
                <w:sz w:val="20"/>
              </w:rPr>
              <w:t>Release</w:t>
            </w:r>
          </w:p>
        </w:tc>
        <w:tc>
          <w:tcPr>
            <w:tcW w:type="dxa" w:w="4819"/>
            <w:shd w:val="clear" w:color="auto" w:fill="F5F7FB"/>
          </w:tcPr>
          <w:p>
            <w:r>
              <w:rPr>
                <w:sz w:val="20"/>
              </w:rPr>
              <w:t>Discard the edits and release the lock. Use when you experimented or made mistakes.</w:t>
            </w:r>
          </w:p>
        </w:tc>
      </w:tr>
      <w:tr>
        <w:tc>
          <w:tcPr>
            <w:tcW w:type="dxa" w:w="4819"/>
          </w:tcPr>
          <w:p>
            <w:r>
              <w:rPr>
                <w:b/>
                <w:sz w:val="20"/>
              </w:rPr>
              <w:t>Save</w:t>
            </w:r>
            <w:r>
              <w:rPr>
                <w:sz w:val="20"/>
              </w:rPr>
              <w:t xml:space="preserve"> (without Check In)</w:t>
            </w:r>
          </w:p>
        </w:tc>
        <w:tc>
          <w:tcPr>
            <w:tcW w:type="dxa" w:w="4819"/>
          </w:tcPr>
          <w:p>
            <w:r>
              <w:rPr>
                <w:sz w:val="20"/>
              </w:rPr>
              <w:t>Keep the lock for further editing while persisting the current state.</w:t>
            </w:r>
          </w:p>
        </w:tc>
      </w:tr>
    </w:tbl>
    <w:p/>
    <w:p>
      <w:pPr>
        <w:pStyle w:val="Heading2"/>
      </w:pPr>
      <w:r>
        <w:t>Resource Request Lifecycle</w:t>
      </w:r>
    </w:p>
    <w:p>
      <w:r>
        <w:t>Whenever you save an allocation change, Tempus creates a resource request. The dot next to the resource shows the status:</w:t>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Status</w:t>
            </w:r>
          </w:p>
        </w:tc>
        <w:tc>
          <w:tcPr>
            <w:tcW w:type="dxa" w:w="4819"/>
            <w:shd w:val="clear" w:color="auto" w:fill="0B3D91"/>
          </w:tcPr>
          <w:p>
            <w:r>
              <w:rPr>
                <w:b/>
                <w:color w:val="FFFFFF"/>
                <w:sz w:val="20"/>
              </w:rPr>
              <w:t>Meaning</w:t>
            </w:r>
          </w:p>
        </w:tc>
      </w:tr>
      <w:tr>
        <w:tc>
          <w:tcPr>
            <w:tcW w:type="dxa" w:w="4819"/>
          </w:tcPr>
          <w:p>
            <w:r>
              <w:rPr>
                <w:sz w:val="20"/>
              </w:rPr>
              <w:t>Pending (pink)</w:t>
            </w:r>
          </w:p>
        </w:tc>
        <w:tc>
          <w:tcPr>
            <w:tcW w:type="dxa" w:w="4819"/>
          </w:tcPr>
          <w:p>
            <w:r>
              <w:rPr>
                <w:sz w:val="20"/>
              </w:rPr>
              <w:t>Awaiting RM decision.</w:t>
            </w:r>
          </w:p>
        </w:tc>
      </w:tr>
      <w:tr>
        <w:tc>
          <w:tcPr>
            <w:tcW w:type="dxa" w:w="4819"/>
            <w:shd w:val="clear" w:color="auto" w:fill="F5F7FB"/>
          </w:tcPr>
          <w:p>
            <w:r>
              <w:rPr>
                <w:sz w:val="20"/>
              </w:rPr>
              <w:t>Approved (green)</w:t>
            </w:r>
          </w:p>
        </w:tc>
        <w:tc>
          <w:tcPr>
            <w:tcW w:type="dxa" w:w="4819"/>
            <w:shd w:val="clear" w:color="auto" w:fill="F5F7FB"/>
          </w:tcPr>
          <w:p>
            <w:r>
              <w:rPr>
                <w:sz w:val="20"/>
              </w:rPr>
              <w:t>RM accepted - capacity is firm.</w:t>
            </w:r>
          </w:p>
        </w:tc>
      </w:tr>
      <w:tr>
        <w:tc>
          <w:tcPr>
            <w:tcW w:type="dxa" w:w="4819"/>
          </w:tcPr>
          <w:p>
            <w:r>
              <w:rPr>
                <w:sz w:val="20"/>
              </w:rPr>
              <w:t>Replaced (blue)</w:t>
            </w:r>
          </w:p>
        </w:tc>
        <w:tc>
          <w:tcPr>
            <w:tcW w:type="dxa" w:w="4819"/>
          </w:tcPr>
          <w:p>
            <w:r>
              <w:rPr>
                <w:sz w:val="20"/>
              </w:rPr>
              <w:t>RM swapped the demand role for a named resource.</w:t>
            </w:r>
          </w:p>
        </w:tc>
      </w:tr>
      <w:tr>
        <w:tc>
          <w:tcPr>
            <w:tcW w:type="dxa" w:w="4819"/>
            <w:shd w:val="clear" w:color="auto" w:fill="F5F7FB"/>
          </w:tcPr>
          <w:p>
            <w:r>
              <w:rPr>
                <w:sz w:val="20"/>
              </w:rPr>
              <w:t>Rejected (red)</w:t>
            </w:r>
          </w:p>
        </w:tc>
        <w:tc>
          <w:tcPr>
            <w:tcW w:type="dxa" w:w="4819"/>
            <w:shd w:val="clear" w:color="auto" w:fill="F5F7FB"/>
          </w:tcPr>
          <w:p>
            <w:r>
              <w:rPr>
                <w:sz w:val="20"/>
              </w:rPr>
              <w:t>Revise and re-submit, or escalate.</w:t>
            </w:r>
          </w:p>
        </w:tc>
      </w:tr>
    </w:tbl>
    <w:p/>
    <w:tbl>
      <w:tblPr>
        <w:tblW w:type="auto" w:w="0"/>
        <w:tblLook w:firstColumn="1" w:firstRow="1" w:lastColumn="0" w:lastRow="0" w:noHBand="0" w:noVBand="1" w:val="04A0"/>
      </w:tblPr>
      <w:tblGrid>
        <w:gridCol w:w="9972"/>
      </w:tblGrid>
      <w:tr>
        <w:tc>
          <w:tcPr>
            <w:tcW w:type="dxa" w:w="9972"/>
            <w:shd w:val="clear" w:color="auto" w:fill="EAF1FB"/>
          </w:tcPr>
          <w:p>
            <w:r>
              <w:rPr>
                <w:b/>
                <w:color w:val="0B3D91"/>
              </w:rPr>
              <w:t xml:space="preserve">Note: </w:t>
            </w:r>
            <w:r>
              <w:t xml:space="preserve">Knauf's standard Knauf time grain on Allocations is </w:t>
            </w:r>
            <w:r>
              <w:rPr>
                <w:b/>
              </w:rPr>
              <w:t>monthly</w:t>
            </w:r>
            <w:r>
              <w:t>. Quarterly grain is mostly used for portfolio rollups in reports, not for daily planning.</w:t>
            </w:r>
          </w:p>
        </w:tc>
      </w:tr>
    </w:tbl>
    <w:p/>
    <w:p>
      <w:pPr>
        <w:pStyle w:val="Heading1"/>
      </w:pPr>
      <w:r>
        <w:t>Plan Costs (Labor and Non-Labor)</w:t>
      </w:r>
    </w:p>
    <w:tbl>
      <w:tblPr>
        <w:tblW w:type="auto" w:w="0"/>
        <w:tblLayout w:type="autofit"/>
        <w:tblLook w:firstColumn="1" w:firstRow="1" w:lastColumn="0" w:lastRow="0" w:noHBand="0" w:noVBand="1" w:val="04A0"/>
      </w:tblPr>
      <w:tblGrid>
        <w:gridCol w:w="9972"/>
      </w:tblGrid>
      <w:tr>
        <w:tc>
          <w:tcPr>
            <w:tcW w:type="dxa" w:w="1474"/>
            <w:shd w:val="clear" w:color="auto" w:fill="0B3D91"/>
          </w:tcPr>
          <w:p>
            <w:pPr>
              <w:jc w:val="center"/>
            </w:pPr>
            <w:r>
              <w:rPr>
                <w:b/>
                <w:color w:val="FFFFFF"/>
                <w:sz w:val="18"/>
              </w:rPr>
              <w:t>PM/SM</w:t>
            </w:r>
          </w:p>
        </w:tc>
      </w:tr>
    </w:tbl>
    <w:p/>
    <w:tbl>
      <w:tblPr>
        <w:tblW w:type="auto" w:w="0"/>
        <w:tblLayout w:type="autofit"/>
        <w:tblLook w:firstColumn="1" w:firstRow="1" w:lastColumn="0" w:lastRow="0" w:noHBand="0" w:noVBand="1" w:val="04A0"/>
      </w:tblPr>
      <w:tblGrid>
        <w:gridCol w:w="9972"/>
      </w:tblGrid>
      <w:tr>
        <w:tc>
          <w:tcPr>
            <w:tcW w:type="dxa" w:w="9972"/>
            <w:shd w:val="clear" w:color="auto" w:fill="EAF3FF"/>
            <w:tcBorders>
              <w:top w:val="single" w:sz="4" w:color="C8D2E8"/>
              <w:left w:val="single" w:sz="4" w:color="C8D2E8"/>
              <w:bottom w:val="single" w:sz="4" w:color="C8D2E8"/>
              <w:right w:val="single" w:sz="4" w:color="C8D2E8"/>
            </w:tcBorders>
          </w:tcPr>
          <w:p>
            <w:r>
              <w:rPr>
                <w:b/>
                <w:color w:val="0B3D91"/>
                <w:sz w:val="22"/>
              </w:rPr>
              <w:t>At a glance</w:t>
            </w:r>
          </w:p>
          <w:p>
            <w:r>
              <w:rPr>
                <w:b/>
                <w:color w:val="0B3D91"/>
              </w:rPr>
              <w:t xml:space="preserve">• </w:t>
            </w:r>
            <w:r>
              <w:rPr>
                <w:b/>
              </w:rPr>
              <w:t>Labor cost</w:t>
            </w:r>
            <w:r>
              <w:t xml:space="preserve"> is derived: switch the Allocations grid to </w:t>
            </w:r>
            <w:r>
              <w:rPr>
                <w:b/>
              </w:rPr>
              <w:t>€ Cost</w:t>
            </w:r>
            <w:r>
              <w:t xml:space="preserve"> to see it.</w:t>
            </w:r>
          </w:p>
          <w:p>
            <w:r>
              <w:rPr>
                <w:b/>
                <w:color w:val="0B3D91"/>
              </w:rPr>
              <w:t xml:space="preserve">• </w:t>
            </w:r>
            <w:r>
              <w:rPr>
                <w:b/>
              </w:rPr>
              <w:t>Non-labor cost</w:t>
            </w:r>
            <w:r>
              <w:t xml:space="preserve"> lives in the </w:t>
            </w:r>
            <w:r>
              <w:rPr>
                <w:b/>
              </w:rPr>
              <w:t>Financials</w:t>
            </w:r>
            <w:r>
              <w:t xml:space="preserve"> view: external consulting, licenses, leasing, managed services, other, CAPEX.</w:t>
            </w:r>
          </w:p>
          <w:p>
            <w:r>
              <w:rPr>
                <w:b/>
                <w:color w:val="0B3D91"/>
              </w:rPr>
              <w:t xml:space="preserve">• </w:t>
            </w:r>
            <w:r>
              <w:t xml:space="preserve">The Financials grid lets you toggle </w:t>
            </w:r>
            <w:r>
              <w:rPr>
                <w:b/>
              </w:rPr>
              <w:t>Include labor costs</w:t>
            </w:r>
            <w:r>
              <w:t xml:space="preserve"> to see one combined picture.</w:t>
            </w:r>
          </w:p>
          <w:p>
            <w:r>
              <w:rPr>
                <w:b/>
                <w:color w:val="0B3D91"/>
              </w:rPr>
              <w:t xml:space="preserve">• </w:t>
            </w:r>
            <w:r>
              <w:t xml:space="preserve">Default grain in Financials at Knauf is </w:t>
            </w:r>
            <w:r>
              <w:rPr>
                <w:b/>
              </w:rPr>
              <w:t>Quarter</w:t>
            </w:r>
            <w:r>
              <w:t>; you can switch to Year or Month.</w:t>
            </w:r>
          </w:p>
        </w:tc>
      </w:tr>
    </w:tbl>
    <w:p/>
    <w:p>
      <w:pPr>
        <w:pStyle w:val="Heading2"/>
      </w:pPr>
      <w:r>
        <w:t>Labor Cost: From Allocations</w:t>
      </w:r>
    </w:p>
    <w:p>
      <w:r>
        <w:t xml:space="preserve">The € Cost tab in the Allocations grid is read-only - it derives from your Mandays and the resource's daily rate. Embedded below at reduced width is the euro perspective on the </w:t>
      </w:r>
      <w:r>
        <w:rPr>
          <w:b/>
        </w:rPr>
        <w:t>Service CRM</w:t>
      </w:r>
      <w:r>
        <w:t xml:space="preserve"> example so you recognise column bands without scrolling away from guidance. </w:t>
      </w:r>
      <w:r>
        <w:drawing>
          <wp:inline xmlns:a="http://schemas.openxmlformats.org/drawingml/2006/main" xmlns:pic="http://schemas.openxmlformats.org/drawingml/2006/picture">
            <wp:extent cx="3311999" cy="3085593"/>
            <wp:docPr id="27" name="Picture 27"/>
            <wp:cNvGraphicFramePr>
              <a:graphicFrameLocks noChangeAspect="1"/>
            </wp:cNvGraphicFramePr>
            <a:graphic>
              <a:graphicData uri="http://schemas.openxmlformats.org/drawingml/2006/picture">
                <pic:pic>
                  <pic:nvPicPr>
                    <pic:cNvPr id="0" name="qrg_08_allocations_cost_pmsm.png"/>
                    <pic:cNvPicPr/>
                  </pic:nvPicPr>
                  <pic:blipFill>
                    <a:blip r:embed="rId29"/>
                    <a:stretch>
                      <a:fillRect/>
                    </a:stretch>
                  </pic:blipFill>
                  <pic:spPr>
                    <a:xfrm>
                      <a:off x="0" y="0"/>
                      <a:ext cx="3311999" cy="3085593"/>
                    </a:xfrm>
                    <a:prstGeom prst="rect"/>
                  </pic:spPr>
                </pic:pic>
              </a:graphicData>
            </a:graphic>
          </wp:inline>
        </w:drawing>
      </w:r>
    </w:p>
    <w:tbl>
      <w:tblPr>
        <w:tblW w:type="auto" w:w="0"/>
        <w:tblLook w:firstColumn="1" w:firstRow="1" w:lastColumn="0" w:lastRow="0" w:noHBand="0" w:noVBand="1" w:val="04A0"/>
      </w:tblPr>
      <w:tblGrid>
        <w:gridCol w:w="9972"/>
      </w:tblGrid>
      <w:tr>
        <w:tc>
          <w:tcPr>
            <w:tcW w:type="dxa" w:w="9972"/>
            <w:shd w:val="clear" w:color="auto" w:fill="EAF7EE"/>
          </w:tcPr>
          <w:p>
            <w:r>
              <w:rPr>
                <w:b/>
                <w:color w:val="1E7A3C"/>
              </w:rPr>
              <w:t xml:space="preserve">Tip: </w:t>
            </w:r>
            <w:r>
              <w:t>To change a labor cost, change the allocation (Manday tab). The € figure updates immediately. Rates are owned by IT Controlling and updated centrally.</w:t>
            </w:r>
          </w:p>
        </w:tc>
      </w:tr>
    </w:tbl>
    <w:p/>
    <w:p>
      <w:pPr>
        <w:pStyle w:val="Heading2"/>
      </w:pPr>
      <w:r>
        <w:t>Non-Labor Cost: Financials View</w:t>
      </w:r>
    </w:p>
    <w:p>
      <w:r>
        <w:t xml:space="preserve">Switch the view selector to </w:t>
      </w:r>
      <w:r>
        <w:rPr>
          <w:b/>
        </w:rPr>
        <w:t>Financials</w:t>
      </w:r>
      <w:r>
        <w:t xml:space="preserve"> to orchestrate leases, licences, managed services and other non-labour postings. Rows respect the project's quarter granularity by default yet remain drillable monthly when needed. Compact illustration: </w:t>
      </w:r>
      <w:r>
        <w:drawing>
          <wp:inline xmlns:a="http://schemas.openxmlformats.org/drawingml/2006/main" xmlns:pic="http://schemas.openxmlformats.org/drawingml/2006/picture">
            <wp:extent cx="3311999" cy="3085593"/>
            <wp:docPr id="28" name="Picture 28"/>
            <wp:cNvGraphicFramePr>
              <a:graphicFrameLocks noChangeAspect="1"/>
            </wp:cNvGraphicFramePr>
            <a:graphic>
              <a:graphicData uri="http://schemas.openxmlformats.org/drawingml/2006/picture">
                <pic:pic>
                  <pic:nvPicPr>
                    <pic:cNvPr id="0" name="qrg_09_financials_pmsm.png"/>
                    <pic:cNvPicPr/>
                  </pic:nvPicPr>
                  <pic:blipFill>
                    <a:blip r:embed="rId30"/>
                    <a:stretch>
                      <a:fillRect/>
                    </a:stretch>
                  </pic:blipFill>
                  <pic:spPr>
                    <a:xfrm>
                      <a:off x="0" y="0"/>
                      <a:ext cx="3311999" cy="3085593"/>
                    </a:xfrm>
                    <a:prstGeom prst="rect"/>
                  </pic:spPr>
                </pic:pic>
              </a:graphicData>
            </a:graphic>
          </wp:inline>
        </w:drawing>
      </w:r>
    </w:p>
    <w:p>
      <w:pPr>
        <w:pStyle w:val="Heading2"/>
      </w:pPr>
      <w:r>
        <w:t>Toolbar Reference</w:t>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Control</w:t>
            </w:r>
          </w:p>
        </w:tc>
        <w:tc>
          <w:tcPr>
            <w:tcW w:type="dxa" w:w="4819"/>
            <w:shd w:val="clear" w:color="auto" w:fill="0B3D91"/>
          </w:tcPr>
          <w:p>
            <w:r>
              <w:rPr>
                <w:b/>
                <w:color w:val="FFFFFF"/>
                <w:sz w:val="20"/>
              </w:rPr>
              <w:t>Purpose</w:t>
            </w:r>
          </w:p>
        </w:tc>
      </w:tr>
      <w:tr>
        <w:tc>
          <w:tcPr>
            <w:tcW w:type="dxa" w:w="4819"/>
          </w:tcPr>
          <w:p>
            <w:r>
              <w:rPr>
                <w:b/>
                <w:sz w:val="20"/>
              </w:rPr>
              <w:t>Start / End date</w:t>
            </w:r>
          </w:p>
        </w:tc>
        <w:tc>
          <w:tcPr>
            <w:tcW w:type="dxa" w:w="4819"/>
          </w:tcPr>
          <w:p>
            <w:r>
              <w:rPr>
                <w:sz w:val="20"/>
              </w:rPr>
              <w:t>Window of the financial grid.</w:t>
            </w:r>
          </w:p>
        </w:tc>
      </w:tr>
      <w:tr>
        <w:tc>
          <w:tcPr>
            <w:tcW w:type="dxa" w:w="4819"/>
            <w:shd w:val="clear" w:color="auto" w:fill="F5F7FB"/>
          </w:tcPr>
          <w:p>
            <w:r>
              <w:rPr>
                <w:b/>
                <w:sz w:val="20"/>
              </w:rPr>
              <w:t>Shift</w:t>
            </w:r>
          </w:p>
        </w:tc>
        <w:tc>
          <w:tcPr>
            <w:tcW w:type="dxa" w:w="4819"/>
            <w:shd w:val="clear" w:color="auto" w:fill="F5F7FB"/>
          </w:tcPr>
          <w:p>
            <w:r>
              <w:rPr>
                <w:sz w:val="20"/>
              </w:rPr>
              <w:t>Bulk-shift lines by months.</w:t>
            </w:r>
          </w:p>
        </w:tc>
      </w:tr>
      <w:tr>
        <w:tc>
          <w:tcPr>
            <w:tcW w:type="dxa" w:w="4819"/>
          </w:tcPr>
          <w:p>
            <w:r>
              <w:rPr>
                <w:b/>
                <w:sz w:val="20"/>
              </w:rPr>
              <w:t>Total column</w:t>
            </w:r>
            <w:r>
              <w:rPr>
                <w:sz w:val="20"/>
              </w:rPr>
              <w:t xml:space="preserve"> toggle</w:t>
            </w:r>
          </w:p>
        </w:tc>
        <w:tc>
          <w:tcPr>
            <w:tcW w:type="dxa" w:w="4819"/>
          </w:tcPr>
          <w:p>
            <w:r>
              <w:rPr>
                <w:sz w:val="20"/>
              </w:rPr>
              <w:t>Add or remove the grand total column.</w:t>
            </w:r>
          </w:p>
        </w:tc>
      </w:tr>
      <w:tr>
        <w:tc>
          <w:tcPr>
            <w:tcW w:type="dxa" w:w="4819"/>
            <w:shd w:val="clear" w:color="auto" w:fill="F5F7FB"/>
          </w:tcPr>
          <w:p>
            <w:r>
              <w:rPr>
                <w:b/>
                <w:sz w:val="20"/>
              </w:rPr>
              <w:t>Include labor costs</w:t>
            </w:r>
            <w:r>
              <w:rPr>
                <w:sz w:val="20"/>
              </w:rPr>
              <w:t xml:space="preserve"> toggle</w:t>
            </w:r>
          </w:p>
        </w:tc>
        <w:tc>
          <w:tcPr>
            <w:tcW w:type="dxa" w:w="4819"/>
            <w:shd w:val="clear" w:color="auto" w:fill="F5F7FB"/>
          </w:tcPr>
          <w:p>
            <w:r>
              <w:rPr>
                <w:sz w:val="20"/>
              </w:rPr>
              <w:t>Pull labor cost into the same view.</w:t>
            </w:r>
          </w:p>
        </w:tc>
      </w:tr>
      <w:tr>
        <w:tc>
          <w:tcPr>
            <w:tcW w:type="dxa" w:w="4819"/>
          </w:tcPr>
          <w:p>
            <w:r>
              <w:rPr>
                <w:b/>
                <w:sz w:val="20"/>
              </w:rPr>
              <w:t>Series</w:t>
            </w:r>
            <w:r>
              <w:rPr>
                <w:sz w:val="20"/>
              </w:rPr>
              <w:t xml:space="preserve"> (Planned / Actual)</w:t>
            </w:r>
          </w:p>
        </w:tc>
        <w:tc>
          <w:tcPr>
            <w:tcW w:type="dxa" w:w="4819"/>
          </w:tcPr>
          <w:p>
            <w:r>
              <w:rPr>
                <w:sz w:val="20"/>
              </w:rPr>
              <w:t>Which series is editable.</w:t>
            </w:r>
          </w:p>
        </w:tc>
      </w:tr>
      <w:tr>
        <w:tc>
          <w:tcPr>
            <w:tcW w:type="dxa" w:w="4819"/>
            <w:shd w:val="clear" w:color="auto" w:fill="F5F7FB"/>
          </w:tcPr>
          <w:p>
            <w:r>
              <w:rPr>
                <w:b/>
                <w:sz w:val="20"/>
              </w:rPr>
              <w:t>Quarter</w:t>
            </w:r>
            <w:r>
              <w:rPr>
                <w:sz w:val="20"/>
              </w:rPr>
              <w:t xml:space="preserve"> dropdown</w:t>
            </w:r>
          </w:p>
        </w:tc>
        <w:tc>
          <w:tcPr>
            <w:tcW w:type="dxa" w:w="4819"/>
            <w:shd w:val="clear" w:color="auto" w:fill="F5F7FB"/>
          </w:tcPr>
          <w:p>
            <w:r>
              <w:rPr>
                <w:sz w:val="20"/>
              </w:rPr>
              <w:t>Time grain.</w:t>
            </w:r>
          </w:p>
        </w:tc>
      </w:tr>
      <w:tr>
        <w:tc>
          <w:tcPr>
            <w:tcW w:type="dxa" w:w="4819"/>
          </w:tcPr>
          <w:p>
            <w:r>
              <w:rPr>
                <w:b/>
                <w:sz w:val="20"/>
              </w:rPr>
              <w:t>Excel</w:t>
            </w:r>
          </w:p>
        </w:tc>
        <w:tc>
          <w:tcPr>
            <w:tcW w:type="dxa" w:w="4819"/>
          </w:tcPr>
          <w:p>
            <w:r>
              <w:rPr>
                <w:sz w:val="20"/>
              </w:rPr>
              <w:t>Export.</w:t>
            </w:r>
          </w:p>
        </w:tc>
      </w:tr>
      <w:tr>
        <w:tc>
          <w:tcPr>
            <w:tcW w:type="dxa" w:w="4819"/>
            <w:shd w:val="clear" w:color="auto" w:fill="F5F7FB"/>
          </w:tcPr>
          <w:p>
            <w:r>
              <w:rPr>
                <w:b/>
                <w:sz w:val="20"/>
              </w:rPr>
              <w:t>Columns / Group by / Filter</w:t>
            </w:r>
          </w:p>
        </w:tc>
        <w:tc>
          <w:tcPr>
            <w:tcW w:type="dxa" w:w="4819"/>
            <w:shd w:val="clear" w:color="auto" w:fill="F5F7FB"/>
          </w:tcPr>
          <w:p>
            <w:r>
              <w:rPr>
                <w:sz w:val="20"/>
              </w:rPr>
              <w:t>Grid customisation.</w:t>
            </w:r>
          </w:p>
        </w:tc>
      </w:tr>
    </w:tbl>
    <w:p/>
    <w:p>
      <w:pPr>
        <w:pStyle w:val="Heading2"/>
      </w:pPr>
      <w:r>
        <w:t>Columns You Will See</w:t>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Column</w:t>
            </w:r>
          </w:p>
        </w:tc>
        <w:tc>
          <w:tcPr>
            <w:tcW w:type="dxa" w:w="4819"/>
            <w:shd w:val="clear" w:color="auto" w:fill="0B3D91"/>
          </w:tcPr>
          <w:p>
            <w:r>
              <w:rPr>
                <w:b/>
                <w:color w:val="FFFFFF"/>
                <w:sz w:val="20"/>
              </w:rPr>
              <w:t>Use</w:t>
            </w:r>
          </w:p>
        </w:tc>
      </w:tr>
      <w:tr>
        <w:tc>
          <w:tcPr>
            <w:tcW w:type="dxa" w:w="4819"/>
          </w:tcPr>
          <w:p>
            <w:r>
              <w:rPr>
                <w:b/>
                <w:sz w:val="20"/>
              </w:rPr>
              <w:t>Name</w:t>
            </w:r>
          </w:p>
        </w:tc>
        <w:tc>
          <w:tcPr>
            <w:tcW w:type="dxa" w:w="4819"/>
          </w:tcPr>
          <w:p>
            <w:r>
              <w:rPr>
                <w:sz w:val="20"/>
              </w:rPr>
              <w:t>Cost line name (free text).</w:t>
            </w:r>
          </w:p>
        </w:tc>
      </w:tr>
      <w:tr>
        <w:tc>
          <w:tcPr>
            <w:tcW w:type="dxa" w:w="4819"/>
            <w:shd w:val="clear" w:color="auto" w:fill="F5F7FB"/>
          </w:tcPr>
          <w:p>
            <w:r>
              <w:rPr>
                <w:b/>
                <w:sz w:val="20"/>
              </w:rPr>
              <w:t>Grand Total</w:t>
            </w:r>
          </w:p>
        </w:tc>
        <w:tc>
          <w:tcPr>
            <w:tcW w:type="dxa" w:w="4819"/>
            <w:shd w:val="clear" w:color="auto" w:fill="F5F7FB"/>
          </w:tcPr>
          <w:p>
            <w:r>
              <w:rPr>
                <w:sz w:val="20"/>
              </w:rPr>
              <w:t>Sum across the timeframe.</w:t>
            </w:r>
          </w:p>
        </w:tc>
      </w:tr>
      <w:tr>
        <w:tc>
          <w:tcPr>
            <w:tcW w:type="dxa" w:w="4819"/>
          </w:tcPr>
          <w:p>
            <w:r>
              <w:rPr>
                <w:b/>
                <w:sz w:val="20"/>
              </w:rPr>
              <w:t>Code</w:t>
            </w:r>
          </w:p>
        </w:tc>
        <w:tc>
          <w:tcPr>
            <w:tcW w:type="dxa" w:w="4819"/>
          </w:tcPr>
          <w:p>
            <w:r>
              <w:rPr>
                <w:sz w:val="20"/>
              </w:rPr>
              <w:t>Optional internal code.</w:t>
            </w:r>
          </w:p>
        </w:tc>
      </w:tr>
      <w:tr>
        <w:tc>
          <w:tcPr>
            <w:tcW w:type="dxa" w:w="4819"/>
            <w:shd w:val="clear" w:color="auto" w:fill="F5F7FB"/>
          </w:tcPr>
          <w:p>
            <w:r>
              <w:rPr>
                <w:b/>
                <w:sz w:val="20"/>
              </w:rPr>
              <w:t>Description</w:t>
            </w:r>
          </w:p>
        </w:tc>
        <w:tc>
          <w:tcPr>
            <w:tcW w:type="dxa" w:w="4819"/>
            <w:shd w:val="clear" w:color="auto" w:fill="F5F7FB"/>
          </w:tcPr>
          <w:p>
            <w:r>
              <w:rPr>
                <w:sz w:val="20"/>
              </w:rPr>
              <w:t>Free text.</w:t>
            </w:r>
          </w:p>
        </w:tc>
      </w:tr>
      <w:tr>
        <w:tc>
          <w:tcPr>
            <w:tcW w:type="dxa" w:w="4819"/>
          </w:tcPr>
          <w:p>
            <w:r>
              <w:rPr>
                <w:b/>
                <w:sz w:val="20"/>
              </w:rPr>
              <w:t>Type</w:t>
            </w:r>
          </w:p>
        </w:tc>
        <w:tc>
          <w:tcPr>
            <w:tcW w:type="dxa" w:w="4819"/>
          </w:tcPr>
          <w:p>
            <w:r>
              <w:rPr>
                <w:rFonts w:ascii="Consolas" w:hAnsi="Consolas"/>
                <w:sz w:val="20"/>
              </w:rPr>
              <w:t>OpEx</w:t>
            </w:r>
            <w:r>
              <w:rPr>
                <w:sz w:val="20"/>
              </w:rPr>
              <w:t xml:space="preserve"> or </w:t>
            </w:r>
            <w:r>
              <w:rPr>
                <w:rFonts w:ascii="Consolas" w:hAnsi="Consolas"/>
                <w:sz w:val="20"/>
              </w:rPr>
              <w:t>CapEx</w:t>
            </w:r>
            <w:r>
              <w:rPr>
                <w:sz w:val="20"/>
              </w:rPr>
              <w:t>.</w:t>
            </w:r>
          </w:p>
        </w:tc>
      </w:tr>
      <w:tr>
        <w:tc>
          <w:tcPr>
            <w:tcW w:type="dxa" w:w="4819"/>
            <w:shd w:val="clear" w:color="auto" w:fill="F5F7FB"/>
          </w:tcPr>
          <w:p>
            <w:r>
              <w:rPr>
                <w:sz w:val="20"/>
              </w:rPr>
              <w:t>Time columns</w:t>
            </w:r>
          </w:p>
        </w:tc>
        <w:tc>
          <w:tcPr>
            <w:tcW w:type="dxa" w:w="4819"/>
            <w:shd w:val="clear" w:color="auto" w:fill="F5F7FB"/>
          </w:tcPr>
          <w:p>
            <w:r>
              <w:rPr>
                <w:sz w:val="20"/>
              </w:rPr>
              <w:t>Quarterly / yearly buckets, editable in Planned mode.</w:t>
            </w:r>
          </w:p>
        </w:tc>
      </w:tr>
    </w:tbl>
    <w:p/>
    <w:p>
      <w:pPr>
        <w:pStyle w:val="Heading2"/>
      </w:pPr>
      <w:r>
        <w:t>Roll-Up Rows</w:t>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Row</w:t>
            </w:r>
          </w:p>
        </w:tc>
        <w:tc>
          <w:tcPr>
            <w:tcW w:type="dxa" w:w="4819"/>
            <w:shd w:val="clear" w:color="auto" w:fill="0B3D91"/>
          </w:tcPr>
          <w:p>
            <w:r>
              <w:rPr>
                <w:b/>
                <w:color w:val="FFFFFF"/>
                <w:sz w:val="20"/>
              </w:rPr>
              <w:t>Meaning</w:t>
            </w:r>
          </w:p>
        </w:tc>
      </w:tr>
      <w:tr>
        <w:tc>
          <w:tcPr>
            <w:tcW w:type="dxa" w:w="4819"/>
          </w:tcPr>
          <w:p>
            <w:r>
              <w:rPr>
                <w:b/>
                <w:sz w:val="20"/>
              </w:rPr>
              <w:t>Total - Positive</w:t>
            </w:r>
            <w:r>
              <w:rPr>
                <w:sz w:val="20"/>
              </w:rPr>
              <w:t xml:space="preserve"> (green)</w:t>
            </w:r>
          </w:p>
        </w:tc>
        <w:tc>
          <w:tcPr>
            <w:tcW w:type="dxa" w:w="4819"/>
          </w:tcPr>
          <w:p>
            <w:r>
              <w:rPr>
                <w:sz w:val="20"/>
              </w:rPr>
              <w:t>Revenue or positive entries. Rare for Knauf IT projects.</w:t>
            </w:r>
          </w:p>
        </w:tc>
      </w:tr>
      <w:tr>
        <w:tc>
          <w:tcPr>
            <w:tcW w:type="dxa" w:w="4819"/>
            <w:shd w:val="clear" w:color="auto" w:fill="F5F7FB"/>
          </w:tcPr>
          <w:p>
            <w:r>
              <w:rPr>
                <w:b/>
                <w:sz w:val="20"/>
              </w:rPr>
              <w:t>Total - Negative</w:t>
            </w:r>
            <w:r>
              <w:rPr>
                <w:sz w:val="20"/>
              </w:rPr>
              <w:t xml:space="preserve"> (brown)</w:t>
            </w:r>
          </w:p>
        </w:tc>
        <w:tc>
          <w:tcPr>
            <w:tcW w:type="dxa" w:w="4819"/>
            <w:shd w:val="clear" w:color="auto" w:fill="F5F7FB"/>
          </w:tcPr>
          <w:p>
            <w:r>
              <w:rPr>
                <w:sz w:val="20"/>
              </w:rPr>
              <w:t>Sum of all cost lines.</w:t>
            </w:r>
          </w:p>
        </w:tc>
      </w:tr>
      <w:tr>
        <w:tc>
          <w:tcPr>
            <w:tcW w:type="dxa" w:w="4819"/>
          </w:tcPr>
          <w:p>
            <w:r>
              <w:rPr>
                <w:b/>
                <w:sz w:val="20"/>
              </w:rPr>
              <w:t>Allocation Labor Cost</w:t>
            </w:r>
          </w:p>
        </w:tc>
        <w:tc>
          <w:tcPr>
            <w:tcW w:type="dxa" w:w="4819"/>
          </w:tcPr>
          <w:p>
            <w:r>
              <w:rPr>
                <w:sz w:val="20"/>
              </w:rPr>
              <w:t xml:space="preserve">Pulled from Allocations when </w:t>
            </w:r>
            <w:r>
              <w:rPr>
                <w:i/>
                <w:sz w:val="20"/>
              </w:rPr>
              <w:t>Include labor costs</w:t>
            </w:r>
            <w:r>
              <w:rPr>
                <w:sz w:val="20"/>
              </w:rPr>
              <w:t xml:space="preserve"> is ON.</w:t>
            </w:r>
          </w:p>
        </w:tc>
      </w:tr>
      <w:tr>
        <w:tc>
          <w:tcPr>
            <w:tcW w:type="dxa" w:w="4819"/>
            <w:shd w:val="clear" w:color="auto" w:fill="F5F7FB"/>
          </w:tcPr>
          <w:p>
            <w:r>
              <w:rPr>
                <w:b/>
                <w:sz w:val="20"/>
              </w:rPr>
              <w:t>Grand Total (Net)</w:t>
            </w:r>
            <w:r>
              <w:rPr>
                <w:sz w:val="20"/>
              </w:rPr>
              <w:t xml:space="preserve"> (bold)</w:t>
            </w:r>
          </w:p>
        </w:tc>
        <w:tc>
          <w:tcPr>
            <w:tcW w:type="dxa" w:w="4819"/>
            <w:shd w:val="clear" w:color="auto" w:fill="F5F7FB"/>
          </w:tcPr>
          <w:p>
            <w:r>
              <w:rPr>
                <w:sz w:val="20"/>
              </w:rPr>
              <w:t>Net result for the timeframe.</w:t>
            </w:r>
          </w:p>
        </w:tc>
      </w:tr>
    </w:tbl>
    <w:p/>
    <w:p>
      <w:pPr>
        <w:pStyle w:val="Heading2"/>
      </w:pPr>
      <w:r>
        <w:t>Add a Cost Line</w:t>
      </w:r>
    </w:p>
    <w:tbl>
      <w:tblPr>
        <w:tblW w:type="auto" w:w="0"/>
        <w:tblLayout w:type="autofit"/>
        <w:tblLook w:firstColumn="1" w:firstRow="1" w:lastColumn="0" w:lastRow="0" w:noHBand="0" w:noVBand="1" w:val="04A0"/>
      </w:tblPr>
      <w:tblGrid>
        <w:gridCol w:w="9972"/>
      </w:tblGrid>
      <w:tr>
        <w:tc>
          <w:tcPr>
            <w:tcW w:type="dxa" w:w="9972"/>
            <w:shd w:val="clear" w:color="auto" w:fill="F5F0FF"/>
            <w:tcBorders>
              <w:top w:val="single" w:sz="4" w:color="C8D2E8"/>
              <w:left w:val="single" w:sz="4" w:color="C8D2E8"/>
              <w:bottom w:val="single" w:sz="4" w:color="C8D2E8"/>
              <w:right w:val="single" w:sz="4" w:color="C8D2E8"/>
            </w:tcBorders>
          </w:tcPr>
          <w:p>
            <w:r>
              <w:rPr>
                <w:b/>
                <w:color w:val="0B3D91"/>
                <w:sz w:val="22"/>
              </w:rPr>
              <w:t>How to</w:t>
            </w:r>
          </w:p>
          <w:p>
            <w:r>
              <w:rPr>
                <w:b/>
                <w:color w:val="0B3D91"/>
              </w:rPr>
              <w:t xml:space="preserve">1. </w:t>
            </w:r>
            <w:r>
              <w:t>Switch to the Financials view (the lock is shared with Allocations).</w:t>
            </w:r>
          </w:p>
          <w:p>
            <w:r>
              <w:rPr>
                <w:b/>
                <w:color w:val="0B3D91"/>
              </w:rPr>
              <w:t xml:space="preserve">2. </w:t>
            </w:r>
            <w:r>
              <w:t xml:space="preserve">Click </w:t>
            </w:r>
            <w:r>
              <w:rPr>
                <w:b/>
              </w:rPr>
              <w:t>Checkout</w:t>
            </w:r>
            <w:r>
              <w:t xml:space="preserve"> if you have not done so already (in the Allocations view).</w:t>
            </w:r>
          </w:p>
          <w:p>
            <w:r>
              <w:rPr>
                <w:b/>
                <w:color w:val="0B3D91"/>
              </w:rPr>
              <w:t xml:space="preserve">3. </w:t>
            </w:r>
            <w:r>
              <w:t xml:space="preserve">Click the action to add a new line, then fill </w:t>
            </w:r>
            <w:r>
              <w:rPr>
                <w:b/>
              </w:rPr>
              <w:t>Name</w:t>
            </w:r>
            <w:r>
              <w:t xml:space="preserve">, </w:t>
            </w:r>
            <w:r>
              <w:rPr>
                <w:b/>
              </w:rPr>
              <w:t>Description</w:t>
            </w:r>
            <w:r>
              <w:t xml:space="preserve">, </w:t>
            </w:r>
            <w:r>
              <w:rPr>
                <w:b/>
              </w:rPr>
              <w:t>Type</w:t>
            </w:r>
            <w:r>
              <w:t xml:space="preserve"> (</w:t>
            </w:r>
            <w:r>
              <w:rPr>
                <w:rFonts w:ascii="Consolas" w:hAnsi="Consolas"/>
                <w:sz w:val="20"/>
              </w:rPr>
              <w:t>OpEx</w:t>
            </w:r>
            <w:r>
              <w:t xml:space="preserve"> / </w:t>
            </w:r>
            <w:r>
              <w:rPr>
                <w:rFonts w:ascii="Consolas" w:hAnsi="Consolas"/>
                <w:sz w:val="20"/>
              </w:rPr>
              <w:t>CapEx</w:t>
            </w:r>
            <w:r>
              <w:t>), and the cost value in the right time bucket.</w:t>
            </w:r>
          </w:p>
          <w:p>
            <w:r>
              <w:rPr>
                <w:b/>
                <w:color w:val="0B3D91"/>
              </w:rPr>
              <w:t xml:space="preserve">4. </w:t>
            </w:r>
            <w:r>
              <w:t>Save the project (Check In). The line shows in the totals and feeds portfolio rollups.</w:t>
            </w:r>
          </w:p>
        </w:tc>
      </w:tr>
    </w:tbl>
    <w:p/>
    <w:tbl>
      <w:tblPr>
        <w:tblW w:type="auto" w:w="0"/>
        <w:tblLook w:firstColumn="1" w:firstRow="1" w:lastColumn="0" w:lastRow="0" w:noHBand="0" w:noVBand="1" w:val="04A0"/>
      </w:tblPr>
      <w:tblGrid>
        <w:gridCol w:w="9972"/>
      </w:tblGrid>
      <w:tr>
        <w:tc>
          <w:tcPr>
            <w:tcW w:type="dxa" w:w="9972"/>
            <w:shd w:val="clear" w:color="auto" w:fill="FBEAEA"/>
          </w:tcPr>
          <w:p>
            <w:r>
              <w:rPr>
                <w:b/>
                <w:color w:val="B0312F"/>
              </w:rPr>
              <w:t xml:space="preserve">Warning: </w:t>
            </w:r>
            <w:r>
              <w:t xml:space="preserve">Cost values entered as positive numbers are typically displayed in parentheses </w:t>
            </w:r>
            <w:r>
              <w:rPr>
                <w:rFonts w:ascii="Consolas" w:hAnsi="Consolas"/>
                <w:sz w:val="20"/>
              </w:rPr>
              <w:t>€(...)</w:t>
            </w:r>
            <w:r>
              <w:t xml:space="preserve"> because Tempus shows costs as a negative net effect. Stick to entering positive amounts in the cost lines and let Tempus take care of the sign.</w:t>
            </w:r>
          </w:p>
        </w:tc>
      </w:tr>
    </w:tbl>
    <w:p/>
    <w:p>
      <w:pPr>
        <w:pStyle w:val="Heading2"/>
      </w:pPr>
      <w:r>
        <w:t>Seven Cost Categories - Reminder</w:t>
      </w:r>
    </w:p>
    <w:p>
      <w:r>
        <w:t>When adding a non-labor line, pick a name that maps to one of:</w:t>
      </w:r>
    </w:p>
    <w:p>
      <w:pPr>
        <w:pStyle w:val="ListNumber"/>
      </w:pPr>
      <w:r>
        <w:t>External consulting</w:t>
      </w:r>
    </w:p>
    <w:p>
      <w:pPr>
        <w:pStyle w:val="ListNumber"/>
      </w:pPr>
      <w:r>
        <w:t>IT licenses</w:t>
      </w:r>
    </w:p>
    <w:p>
      <w:pPr>
        <w:pStyle w:val="ListNumber"/>
      </w:pPr>
      <w:r>
        <w:t>IT leasing</w:t>
      </w:r>
    </w:p>
    <w:p>
      <w:pPr>
        <w:pStyle w:val="ListNumber"/>
      </w:pPr>
      <w:r>
        <w:t>Managed IT services</w:t>
      </w:r>
    </w:p>
    <w:p>
      <w:pPr>
        <w:pStyle w:val="ListNumber"/>
      </w:pPr>
      <w:r>
        <w:t>Other costs</w:t>
      </w:r>
    </w:p>
    <w:p>
      <w:pPr>
        <w:pStyle w:val="ListNumber"/>
      </w:pPr>
      <w:r>
        <w:t>CAPEX</w:t>
      </w:r>
    </w:p>
    <w:p>
      <w:pPr>
        <w:pStyle w:val="ListNumber"/>
      </w:pPr>
      <w:r>
        <w:t>Internal effort (this one is implicit via Allocation Labor Cost)</w:t>
      </w:r>
    </w:p>
    <w:tbl>
      <w:tblPr>
        <w:tblW w:type="auto" w:w="0"/>
        <w:tblLook w:firstColumn="1" w:firstRow="1" w:lastColumn="0" w:lastRow="0" w:noHBand="0" w:noVBand="1" w:val="04A0"/>
      </w:tblPr>
      <w:tblGrid>
        <w:gridCol w:w="9972"/>
      </w:tblGrid>
      <w:tr>
        <w:tc>
          <w:tcPr>
            <w:tcW w:type="dxa" w:w="9972"/>
            <w:shd w:val="clear" w:color="auto" w:fill="EAF1FB"/>
          </w:tcPr>
          <w:p>
            <w:r>
              <w:rPr>
                <w:b/>
                <w:color w:val="0B3D91"/>
              </w:rPr>
              <w:t xml:space="preserve">Note: </w:t>
            </w:r>
            <w:r>
              <w:t>The exact wording and codes are defined by IT Controlling. Stick to the agreed list so portfolio reports stay clean.</w:t>
            </w:r>
          </w:p>
        </w:tc>
      </w:tr>
    </w:tbl>
    <w:p/>
    <w:p>
      <w:pPr>
        <w:pStyle w:val="Heading1"/>
      </w:pPr>
      <w:r>
        <w:t>Bulk Project Allocation Flatgrid</w:t>
      </w:r>
    </w:p>
    <w:tbl>
      <w:tblPr>
        <w:tblW w:type="auto" w:w="0"/>
        <w:tblLayout w:type="autofit"/>
        <w:tblLook w:firstColumn="1" w:firstRow="1" w:lastColumn="0" w:lastRow="0" w:noHBand="0" w:noVBand="1" w:val="04A0"/>
      </w:tblPr>
      <w:tblGrid>
        <w:gridCol w:w="9972"/>
      </w:tblGrid>
      <w:tr>
        <w:tc>
          <w:tcPr>
            <w:tcW w:type="dxa" w:w="1474"/>
            <w:shd w:val="clear" w:color="auto" w:fill="1E7A3C"/>
          </w:tcPr>
          <w:p>
            <w:pPr>
              <w:jc w:val="center"/>
            </w:pPr>
            <w:r>
              <w:rPr>
                <w:b/>
                <w:color w:val="FFFFFF"/>
                <w:sz w:val="18"/>
              </w:rPr>
              <w:t>RM</w:t>
            </w:r>
          </w:p>
        </w:tc>
      </w:tr>
    </w:tbl>
    <w:p/>
    <w:tbl>
      <w:tblPr>
        <w:tblW w:type="auto" w:w="0"/>
        <w:tblLayout w:type="autofit"/>
        <w:tblLook w:firstColumn="1" w:firstRow="1" w:lastColumn="0" w:lastRow="0" w:noHBand="0" w:noVBand="1" w:val="04A0"/>
      </w:tblPr>
      <w:tblGrid>
        <w:gridCol w:w="9972"/>
      </w:tblGrid>
      <w:tr>
        <w:tc>
          <w:tcPr>
            <w:tcW w:type="dxa" w:w="9972"/>
            <w:shd w:val="clear" w:color="auto" w:fill="EAF3FF"/>
            <w:tcBorders>
              <w:top w:val="single" w:sz="4" w:color="C8D2E8"/>
              <w:left w:val="single" w:sz="4" w:color="C8D2E8"/>
              <w:bottom w:val="single" w:sz="4" w:color="C8D2E8"/>
              <w:right w:val="single" w:sz="4" w:color="C8D2E8"/>
            </w:tcBorders>
          </w:tcPr>
          <w:p>
            <w:r>
              <w:rPr>
                <w:b/>
                <w:color w:val="0B3D91"/>
                <w:sz w:val="22"/>
              </w:rPr>
              <w:t>At a glance</w:t>
            </w:r>
          </w:p>
          <w:p>
            <w:r>
              <w:rPr>
                <w:b/>
                <w:color w:val="0B3D91"/>
              </w:rPr>
              <w:t xml:space="preserve">• </w:t>
            </w:r>
            <w:r>
              <w:rPr>
                <w:b/>
              </w:rPr>
              <w:t>RM-only</w:t>
            </w:r>
            <w:r>
              <w:t xml:space="preserve"> screen in the Knauf role model. PM/SM does not see the BPA Flatgrid tile.</w:t>
            </w:r>
          </w:p>
          <w:p>
            <w:r>
              <w:rPr>
                <w:b/>
                <w:color w:val="0B3D91"/>
              </w:rPr>
              <w:t xml:space="preserve">• </w:t>
            </w:r>
            <w:r>
              <w:t xml:space="preserve">The Flatgrid lets you edit allocations across </w:t>
            </w:r>
            <w:r>
              <w:rPr>
                <w:b/>
              </w:rPr>
              <w:t>many projects and resources</w:t>
            </w:r>
            <w:r>
              <w:t xml:space="preserve"> in one grid.</w:t>
            </w:r>
          </w:p>
          <w:p>
            <w:r>
              <w:rPr>
                <w:b/>
                <w:color w:val="0B3D91"/>
              </w:rPr>
              <w:t xml:space="preserve">• </w:t>
            </w:r>
            <w:r>
              <w:t xml:space="preserve">Three filter modes drive what is loaded: by </w:t>
            </w:r>
            <w:r>
              <w:rPr>
                <w:b/>
              </w:rPr>
              <w:t>Project</w:t>
            </w:r>
            <w:r>
              <w:t xml:space="preserve">, by </w:t>
            </w:r>
            <w:r>
              <w:rPr>
                <w:b/>
              </w:rPr>
              <w:t>Resource</w:t>
            </w:r>
            <w:r>
              <w:t xml:space="preserve">, or </w:t>
            </w:r>
            <w:r>
              <w:rPr>
                <w:b/>
              </w:rPr>
              <w:t>Default</w:t>
            </w:r>
            <w:r>
              <w:t>.</w:t>
            </w:r>
          </w:p>
          <w:p>
            <w:r>
              <w:rPr>
                <w:b/>
                <w:color w:val="0B3D91"/>
              </w:rPr>
              <w:t xml:space="preserve">• </w:t>
            </w:r>
            <w:r>
              <w:t>Saving works the same way as in single-project Allocations: each change creates resource requests.</w:t>
            </w:r>
          </w:p>
        </w:tc>
      </w:tr>
    </w:tbl>
    <w:p/>
    <w:p>
      <w:r>
        <w:t>The Bulk Project Allocation (</w:t>
      </w:r>
      <w:r>
        <w:rPr>
          <w:b/>
        </w:rPr>
        <w:t>BPA</w:t>
      </w:r>
      <w:r>
        <w:t xml:space="preserve">) Flatgrid is an RM-heavy cockpit; planners rarely open it themselves. For awareness, note the sprawling matrix and shared toolbar DNA with single-project grids. The illustrative crop below was taken with sandbox elevation so you can recognise the UX if an RM walks you through a remediation session. </w:t>
      </w:r>
      <w:r>
        <w:drawing>
          <wp:inline xmlns:a="http://schemas.openxmlformats.org/drawingml/2006/main" xmlns:pic="http://schemas.openxmlformats.org/drawingml/2006/picture">
            <wp:extent cx="3311999" cy="3085593"/>
            <wp:docPr id="29" name="Picture 29"/>
            <wp:cNvGraphicFramePr>
              <a:graphicFrameLocks noChangeAspect="1"/>
            </wp:cNvGraphicFramePr>
            <a:graphic>
              <a:graphicData uri="http://schemas.openxmlformats.org/drawingml/2006/picture">
                <pic:pic>
                  <pic:nvPicPr>
                    <pic:cNvPr id="0" name="qrg_11_bpa_rm.png"/>
                    <pic:cNvPicPr/>
                  </pic:nvPicPr>
                  <pic:blipFill>
                    <a:blip r:embed="rId31"/>
                    <a:stretch>
                      <a:fillRect/>
                    </a:stretch>
                  </pic:blipFill>
                  <pic:spPr>
                    <a:xfrm>
                      <a:off x="0" y="0"/>
                      <a:ext cx="3311999" cy="3085593"/>
                    </a:xfrm>
                    <a:prstGeom prst="rect"/>
                  </pic:spPr>
                </pic:pic>
              </a:graphicData>
            </a:graphic>
          </wp:inline>
        </w:drawing>
      </w:r>
    </w:p>
    <w:tbl>
      <w:tblPr>
        <w:tblW w:type="auto" w:w="0"/>
        <w:tblLook w:firstColumn="1" w:firstRow="1" w:lastColumn="0" w:lastRow="0" w:noHBand="0" w:noVBand="1" w:val="04A0"/>
      </w:tblPr>
      <w:tblGrid>
        <w:gridCol w:w="9972"/>
      </w:tblGrid>
      <w:tr>
        <w:tc>
          <w:tcPr>
            <w:tcW w:type="dxa" w:w="9972"/>
            <w:shd w:val="clear" w:color="auto" w:fill="EAF1FB"/>
          </w:tcPr>
          <w:p>
            <w:r>
              <w:rPr>
                <w:b/>
                <w:color w:val="0B3D91"/>
              </w:rPr>
              <w:t xml:space="preserve">Note: </w:t>
            </w:r>
            <w:r>
              <w:t>The screenshot above was captured in the sandbox with an admin-style profile so the full toolbar is visible. The day-to-day RM profile sees the same grid and toolbar.</w:t>
            </w:r>
          </w:p>
        </w:tc>
      </w:tr>
    </w:tbl>
    <w:p/>
    <w:p>
      <w:pPr>
        <w:pStyle w:val="Heading2"/>
      </w:pPr>
      <w:r>
        <w:t>Filter Modes</w:t>
      </w:r>
    </w:p>
    <w:tbl>
      <w:tblPr>
        <w:tblW w:type="auto" w:w="0"/>
        <w:tblLayout w:type="autofit"/>
        <w:tblLook w:firstColumn="1" w:firstRow="1" w:lastColumn="0" w:lastRow="0" w:noHBand="0" w:noVBand="1" w:val="04A0"/>
      </w:tblPr>
      <w:tblGrid>
        <w:gridCol w:w="3324"/>
        <w:gridCol w:w="3324"/>
        <w:gridCol w:w="3324"/>
      </w:tblGrid>
      <w:tr>
        <w:tc>
          <w:tcPr>
            <w:tcW w:type="dxa" w:w="3213"/>
            <w:shd w:val="clear" w:color="auto" w:fill="0B3D91"/>
          </w:tcPr>
          <w:p>
            <w:r>
              <w:rPr>
                <w:b/>
                <w:color w:val="FFFFFF"/>
                <w:sz w:val="20"/>
              </w:rPr>
              <w:t>Mode</w:t>
            </w:r>
          </w:p>
        </w:tc>
        <w:tc>
          <w:tcPr>
            <w:tcW w:type="dxa" w:w="3213"/>
            <w:shd w:val="clear" w:color="auto" w:fill="0B3D91"/>
          </w:tcPr>
          <w:p>
            <w:r>
              <w:rPr>
                <w:b/>
                <w:color w:val="FFFFFF"/>
                <w:sz w:val="20"/>
              </w:rPr>
              <w:t>Behaviour</w:t>
            </w:r>
          </w:p>
        </w:tc>
        <w:tc>
          <w:tcPr>
            <w:tcW w:type="dxa" w:w="3213"/>
            <w:shd w:val="clear" w:color="auto" w:fill="0B3D91"/>
          </w:tcPr>
          <w:p>
            <w:r>
              <w:rPr>
                <w:b/>
                <w:color w:val="FFFFFF"/>
                <w:sz w:val="20"/>
              </w:rPr>
              <w:t>Use when</w:t>
            </w:r>
          </w:p>
        </w:tc>
      </w:tr>
      <w:tr>
        <w:tc>
          <w:tcPr>
            <w:tcW w:type="dxa" w:w="3213"/>
          </w:tcPr>
          <w:p>
            <w:r>
              <w:rPr>
                <w:b/>
                <w:sz w:val="20"/>
              </w:rPr>
              <w:t>Project</w:t>
            </w:r>
          </w:p>
        </w:tc>
        <w:tc>
          <w:tcPr>
            <w:tcW w:type="dxa" w:w="3213"/>
          </w:tcPr>
          <w:p>
            <w:r>
              <w:rPr>
                <w:sz w:val="20"/>
              </w:rPr>
              <w:t>Pick projects -&gt; their resources are auto-loaded.</w:t>
            </w:r>
          </w:p>
        </w:tc>
        <w:tc>
          <w:tcPr>
            <w:tcW w:type="dxa" w:w="3213"/>
          </w:tcPr>
          <w:p>
            <w:r>
              <w:rPr>
                <w:sz w:val="20"/>
              </w:rPr>
              <w:t>You manage a portfolio and want resource demand per project.</w:t>
            </w:r>
          </w:p>
        </w:tc>
      </w:tr>
      <w:tr>
        <w:tc>
          <w:tcPr>
            <w:tcW w:type="dxa" w:w="3213"/>
            <w:shd w:val="clear" w:color="auto" w:fill="F5F7FB"/>
          </w:tcPr>
          <w:p>
            <w:r>
              <w:rPr>
                <w:b/>
                <w:sz w:val="20"/>
              </w:rPr>
              <w:t>Resource</w:t>
            </w:r>
          </w:p>
        </w:tc>
        <w:tc>
          <w:tcPr>
            <w:tcW w:type="dxa" w:w="3213"/>
            <w:shd w:val="clear" w:color="auto" w:fill="F5F7FB"/>
          </w:tcPr>
          <w:p>
            <w:r>
              <w:rPr>
                <w:sz w:val="20"/>
              </w:rPr>
              <w:t>Pick resources -&gt; their projects are auto-loaded.</w:t>
            </w:r>
          </w:p>
        </w:tc>
        <w:tc>
          <w:tcPr>
            <w:tcW w:type="dxa" w:w="3213"/>
            <w:shd w:val="clear" w:color="auto" w:fill="F5F7FB"/>
          </w:tcPr>
          <w:p>
            <w:r>
              <w:rPr>
                <w:sz w:val="20"/>
              </w:rPr>
              <w:t>You manage people and want every project they touch.</w:t>
            </w:r>
          </w:p>
        </w:tc>
      </w:tr>
      <w:tr>
        <w:tc>
          <w:tcPr>
            <w:tcW w:type="dxa" w:w="3213"/>
          </w:tcPr>
          <w:p>
            <w:r>
              <w:rPr>
                <w:b/>
                <w:sz w:val="20"/>
              </w:rPr>
              <w:t>Default</w:t>
            </w:r>
          </w:p>
        </w:tc>
        <w:tc>
          <w:tcPr>
            <w:tcW w:type="dxa" w:w="3213"/>
          </w:tcPr>
          <w:p>
            <w:r>
              <w:rPr>
                <w:sz w:val="20"/>
              </w:rPr>
              <w:t>Free choice on both sides; lets you add new allocations to resources not yet on a project.</w:t>
            </w:r>
          </w:p>
        </w:tc>
        <w:tc>
          <w:tcPr>
            <w:tcW w:type="dxa" w:w="3213"/>
          </w:tcPr>
          <w:p>
            <w:r>
              <w:rPr>
                <w:sz w:val="20"/>
              </w:rPr>
              <w:t>Initial setup or modelling.</w:t>
            </w:r>
          </w:p>
        </w:tc>
      </w:tr>
    </w:tbl>
    <w:p/>
    <w:p>
      <w:pPr>
        <w:pStyle w:val="Heading2"/>
      </w:pPr>
      <w:r>
        <w:t>Toolbar Highlights</w:t>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Control</w:t>
            </w:r>
          </w:p>
        </w:tc>
        <w:tc>
          <w:tcPr>
            <w:tcW w:type="dxa" w:w="4819"/>
            <w:shd w:val="clear" w:color="auto" w:fill="0B3D91"/>
          </w:tcPr>
          <w:p>
            <w:r>
              <w:rPr>
                <w:b/>
                <w:color w:val="FFFFFF"/>
                <w:sz w:val="20"/>
              </w:rPr>
              <w:t>What it does</w:t>
            </w:r>
          </w:p>
        </w:tc>
      </w:tr>
      <w:tr>
        <w:tc>
          <w:tcPr>
            <w:tcW w:type="dxa" w:w="4819"/>
          </w:tcPr>
          <w:p>
            <w:r>
              <w:rPr>
                <w:b/>
                <w:sz w:val="20"/>
              </w:rPr>
              <w:t>Expand grid</w:t>
            </w:r>
          </w:p>
        </w:tc>
        <w:tc>
          <w:tcPr>
            <w:tcW w:type="dxa" w:w="4819"/>
          </w:tcPr>
          <w:p>
            <w:r>
              <w:rPr>
                <w:sz w:val="20"/>
              </w:rPr>
              <w:t>One-click full expansion.</w:t>
            </w:r>
          </w:p>
        </w:tc>
      </w:tr>
      <w:tr>
        <w:tc>
          <w:tcPr>
            <w:tcW w:type="dxa" w:w="4819"/>
            <w:shd w:val="clear" w:color="auto" w:fill="F5F7FB"/>
          </w:tcPr>
          <w:p>
            <w:r>
              <w:rPr>
                <w:b/>
                <w:sz w:val="20"/>
              </w:rPr>
              <w:t>Add assignment</w:t>
            </w:r>
          </w:p>
        </w:tc>
        <w:tc>
          <w:tcPr>
            <w:tcW w:type="dxa" w:w="4819"/>
            <w:shd w:val="clear" w:color="auto" w:fill="F5F7FB"/>
          </w:tcPr>
          <w:p>
            <w:r>
              <w:rPr>
                <w:sz w:val="20"/>
              </w:rPr>
              <w:t>Create a Resource-Project-Task combination on the fly.</w:t>
            </w:r>
          </w:p>
        </w:tc>
      </w:tr>
      <w:tr>
        <w:tc>
          <w:tcPr>
            <w:tcW w:type="dxa" w:w="4819"/>
          </w:tcPr>
          <w:p>
            <w:r>
              <w:rPr>
                <w:b/>
                <w:sz w:val="20"/>
              </w:rPr>
              <w:t>Options</w:t>
            </w:r>
          </w:p>
        </w:tc>
        <w:tc>
          <w:tcPr>
            <w:tcW w:type="dxa" w:w="4819"/>
          </w:tcPr>
          <w:p>
            <w:r>
              <w:rPr>
                <w:sz w:val="20"/>
              </w:rPr>
              <w:t>Heatmaps, totals, filter by request status.</w:t>
            </w:r>
          </w:p>
        </w:tc>
      </w:tr>
      <w:tr>
        <w:tc>
          <w:tcPr>
            <w:tcW w:type="dxa" w:w="4819"/>
            <w:shd w:val="clear" w:color="auto" w:fill="F5F7FB"/>
          </w:tcPr>
          <w:p>
            <w:r>
              <w:rPr>
                <w:b/>
                <w:sz w:val="20"/>
              </w:rPr>
              <w:t>Insert columns / Group by</w:t>
            </w:r>
          </w:p>
        </w:tc>
        <w:tc>
          <w:tcPr>
            <w:tcW w:type="dxa" w:w="4819"/>
            <w:shd w:val="clear" w:color="auto" w:fill="F5F7FB"/>
          </w:tcPr>
          <w:p>
            <w:r>
              <w:rPr>
                <w:sz w:val="20"/>
              </w:rPr>
              <w:t>Customise what you see.</w:t>
            </w:r>
          </w:p>
        </w:tc>
      </w:tr>
      <w:tr>
        <w:tc>
          <w:tcPr>
            <w:tcW w:type="dxa" w:w="4819"/>
          </w:tcPr>
          <w:p>
            <w:r>
              <w:rPr>
                <w:b/>
                <w:sz w:val="20"/>
              </w:rPr>
              <w:t>Time granularity</w:t>
            </w:r>
          </w:p>
        </w:tc>
        <w:tc>
          <w:tcPr>
            <w:tcW w:type="dxa" w:w="4819"/>
          </w:tcPr>
          <w:p>
            <w:r>
              <w:rPr>
                <w:sz w:val="20"/>
              </w:rPr>
              <w:t>Day / Week / Month / Quarter / Year.</w:t>
            </w:r>
          </w:p>
        </w:tc>
      </w:tr>
      <w:tr>
        <w:tc>
          <w:tcPr>
            <w:tcW w:type="dxa" w:w="4819"/>
            <w:shd w:val="clear" w:color="auto" w:fill="F5F7FB"/>
          </w:tcPr>
          <w:p>
            <w:r>
              <w:rPr>
                <w:b/>
                <w:sz w:val="20"/>
              </w:rPr>
              <w:t>Unit tabs</w:t>
            </w:r>
          </w:p>
        </w:tc>
        <w:tc>
          <w:tcPr>
            <w:tcW w:type="dxa" w:w="4819"/>
            <w:shd w:val="clear" w:color="auto" w:fill="F5F7FB"/>
          </w:tcPr>
          <w:p>
            <w:r>
              <w:rPr>
                <w:sz w:val="20"/>
              </w:rPr>
              <w:t>Manday (typical), € Cost, FTE, FTE %, Time, Gantt.</w:t>
            </w:r>
          </w:p>
        </w:tc>
      </w:tr>
      <w:tr>
        <w:tc>
          <w:tcPr>
            <w:tcW w:type="dxa" w:w="4819"/>
          </w:tcPr>
          <w:p>
            <w:r>
              <w:rPr>
                <w:b/>
                <w:sz w:val="20"/>
              </w:rPr>
              <w:t>View management</w:t>
            </w:r>
          </w:p>
        </w:tc>
        <w:tc>
          <w:tcPr>
            <w:tcW w:type="dxa" w:w="4819"/>
          </w:tcPr>
          <w:p>
            <w:r>
              <w:rPr>
                <w:sz w:val="20"/>
              </w:rPr>
              <w:t>Save / clone / lock / set default / delete personal views.</w:t>
            </w:r>
          </w:p>
        </w:tc>
      </w:tr>
    </w:tbl>
    <w:p/>
    <w:p>
      <w:pPr>
        <w:pStyle w:val="Heading2"/>
      </w:pPr>
      <w:r>
        <w:t>Working Pattern for RM</w:t>
      </w:r>
    </w:p>
    <w:tbl>
      <w:tblPr>
        <w:tblW w:type="auto" w:w="0"/>
        <w:tblLayout w:type="autofit"/>
        <w:tblLook w:firstColumn="1" w:firstRow="1" w:lastColumn="0" w:lastRow="0" w:noHBand="0" w:noVBand="1" w:val="04A0"/>
      </w:tblPr>
      <w:tblGrid>
        <w:gridCol w:w="9972"/>
      </w:tblGrid>
      <w:tr>
        <w:tc>
          <w:tcPr>
            <w:tcW w:type="dxa" w:w="9972"/>
            <w:shd w:val="clear" w:color="auto" w:fill="F5F0FF"/>
            <w:tcBorders>
              <w:top w:val="single" w:sz="4" w:color="C8D2E8"/>
              <w:left w:val="single" w:sz="4" w:color="C8D2E8"/>
              <w:bottom w:val="single" w:sz="4" w:color="C8D2E8"/>
              <w:right w:val="single" w:sz="4" w:color="C8D2E8"/>
            </w:tcBorders>
          </w:tcPr>
          <w:p>
            <w:r>
              <w:rPr>
                <w:b/>
                <w:color w:val="0B3D91"/>
                <w:sz w:val="22"/>
              </w:rPr>
              <w:t>How to</w:t>
            </w:r>
          </w:p>
          <w:p>
            <w:r>
              <w:rPr>
                <w:b/>
                <w:color w:val="0B3D91"/>
              </w:rPr>
              <w:t xml:space="preserve">1. </w:t>
            </w:r>
            <w:r>
              <w:t xml:space="preserve">Switch the mode selector to </w:t>
            </w:r>
            <w:r>
              <w:rPr>
                <w:b/>
              </w:rPr>
              <w:t>Resource</w:t>
            </w:r>
            <w:r>
              <w:t xml:space="preserve"> and pick the resources you cover.</w:t>
            </w:r>
          </w:p>
          <w:p>
            <w:r>
              <w:rPr>
                <w:b/>
                <w:color w:val="0B3D91"/>
              </w:rPr>
              <w:t xml:space="preserve">2. </w:t>
            </w:r>
            <w:r>
              <w:t>Confirm the timeframe matches the cycle you are working in (typically the budget year).</w:t>
            </w:r>
          </w:p>
          <w:p>
            <w:r>
              <w:rPr>
                <w:b/>
                <w:color w:val="0B3D91"/>
              </w:rPr>
              <w:t xml:space="preserve">3. </w:t>
            </w:r>
            <w:r>
              <w:t>Insert columns: Project name, Business Portfolio, Type, Project Manager.</w:t>
            </w:r>
          </w:p>
          <w:p>
            <w:r>
              <w:rPr>
                <w:b/>
                <w:color w:val="0B3D91"/>
              </w:rPr>
              <w:t xml:space="preserve">4. </w:t>
            </w:r>
            <w:r>
              <w:t xml:space="preserve">Group by </w:t>
            </w:r>
            <w:r>
              <w:rPr>
                <w:b/>
              </w:rPr>
              <w:t>Project name</w:t>
            </w:r>
            <w:r>
              <w:t xml:space="preserve"> for a per-project view, or by </w:t>
            </w:r>
            <w:r>
              <w:rPr>
                <w:b/>
              </w:rPr>
              <w:t>Resource</w:t>
            </w:r>
            <w:r>
              <w:t xml:space="preserve"> for a per-person view.</w:t>
            </w:r>
          </w:p>
          <w:p>
            <w:r>
              <w:rPr>
                <w:b/>
                <w:color w:val="0B3D91"/>
              </w:rPr>
              <w:t xml:space="preserve">5. </w:t>
            </w:r>
            <w:r>
              <w:t>Save a personal view if you find yourself recreating the same setup.</w:t>
            </w:r>
          </w:p>
        </w:tc>
      </w:tr>
    </w:tbl>
    <w:p/>
    <w:p>
      <w:pPr>
        <w:pStyle w:val="Heading2"/>
      </w:pPr>
      <w:r>
        <w:t>Add a New Assignment</w:t>
      </w:r>
    </w:p>
    <w:tbl>
      <w:tblPr>
        <w:tblW w:type="auto" w:w="0"/>
        <w:tblLayout w:type="autofit"/>
        <w:tblLook w:firstColumn="1" w:firstRow="1" w:lastColumn="0" w:lastRow="0" w:noHBand="0" w:noVBand="1" w:val="04A0"/>
      </w:tblPr>
      <w:tblGrid>
        <w:gridCol w:w="9972"/>
      </w:tblGrid>
      <w:tr>
        <w:tc>
          <w:tcPr>
            <w:tcW w:type="dxa" w:w="9972"/>
            <w:shd w:val="clear" w:color="auto" w:fill="F5F0FF"/>
            <w:tcBorders>
              <w:top w:val="single" w:sz="4" w:color="C8D2E8"/>
              <w:left w:val="single" w:sz="4" w:color="C8D2E8"/>
              <w:bottom w:val="single" w:sz="4" w:color="C8D2E8"/>
              <w:right w:val="single" w:sz="4" w:color="C8D2E8"/>
            </w:tcBorders>
          </w:tcPr>
          <w:p>
            <w:r>
              <w:rPr>
                <w:b/>
                <w:color w:val="0B3D91"/>
                <w:sz w:val="22"/>
              </w:rPr>
              <w:t>How to</w:t>
            </w:r>
          </w:p>
          <w:p>
            <w:r>
              <w:rPr>
                <w:b/>
                <w:color w:val="0B3D91"/>
              </w:rPr>
              <w:t xml:space="preserve">1. </w:t>
            </w:r>
            <w:r>
              <w:t xml:space="preserve">Click </w:t>
            </w:r>
            <w:r>
              <w:rPr>
                <w:b/>
              </w:rPr>
              <w:t>Add assignment</w:t>
            </w:r>
            <w:r>
              <w:t>.</w:t>
            </w:r>
          </w:p>
          <w:p>
            <w:r>
              <w:rPr>
                <w:b/>
                <w:color w:val="0B3D91"/>
              </w:rPr>
              <w:t xml:space="preserve">2. </w:t>
            </w:r>
            <w:r>
              <w:t>Pick a project, a resource, and a task.</w:t>
            </w:r>
          </w:p>
          <w:p>
            <w:r>
              <w:rPr>
                <w:b/>
                <w:color w:val="0B3D91"/>
              </w:rPr>
              <w:t xml:space="preserve">3. </w:t>
            </w:r>
            <w:r>
              <w:t xml:space="preserve">Tick </w:t>
            </w:r>
            <w:r>
              <w:rPr>
                <w:b/>
              </w:rPr>
              <w:t>Allow new Resources</w:t>
            </w:r>
            <w:r>
              <w:t xml:space="preserve"> if the resource is not yet on the project, or </w:t>
            </w:r>
            <w:r>
              <w:rPr>
                <w:b/>
              </w:rPr>
              <w:t>Add new Task</w:t>
            </w:r>
            <w:r>
              <w:t xml:space="preserve"> to introduce a task on the fly.</w:t>
            </w:r>
          </w:p>
          <w:p>
            <w:r>
              <w:rPr>
                <w:b/>
                <w:color w:val="0B3D91"/>
              </w:rPr>
              <w:t xml:space="preserve">4. </w:t>
            </w:r>
            <w:r>
              <w:t xml:space="preserve">Click </w:t>
            </w:r>
            <w:r>
              <w:rPr>
                <w:b/>
              </w:rPr>
              <w:t>Add new assignment</w:t>
            </w:r>
            <w:r>
              <w:t>. A row appears with editable cells.</w:t>
            </w:r>
          </w:p>
          <w:p>
            <w:r>
              <w:rPr>
                <w:b/>
                <w:color w:val="0B3D91"/>
              </w:rPr>
              <w:t xml:space="preserve">5. </w:t>
            </w:r>
            <w:r>
              <w:t xml:space="preserve">Type the allocations per period and </w:t>
            </w:r>
            <w:r>
              <w:rPr>
                <w:b/>
              </w:rPr>
              <w:t>Save</w:t>
            </w:r>
            <w:r>
              <w:t>.</w:t>
            </w:r>
          </w:p>
        </w:tc>
      </w:tr>
    </w:tbl>
    <w:p/>
    <w:p>
      <w:pPr>
        <w:pStyle w:val="Heading2"/>
      </w:pPr>
      <w:r>
        <w:t>Reviewing Pending Resource Requests</w:t>
      </w:r>
    </w:p>
    <w:tbl>
      <w:tblPr>
        <w:tblW w:type="auto" w:w="0"/>
        <w:tblLayout w:type="autofit"/>
        <w:tblLook w:firstColumn="1" w:firstRow="1" w:lastColumn="0" w:lastRow="0" w:noHBand="0" w:noVBand="1" w:val="04A0"/>
      </w:tblPr>
      <w:tblGrid>
        <w:gridCol w:w="9972"/>
      </w:tblGrid>
      <w:tr>
        <w:tc>
          <w:tcPr>
            <w:tcW w:type="dxa" w:w="9972"/>
            <w:shd w:val="clear" w:color="auto" w:fill="F5F0FF"/>
            <w:tcBorders>
              <w:top w:val="single" w:sz="4" w:color="C8D2E8"/>
              <w:left w:val="single" w:sz="4" w:color="C8D2E8"/>
              <w:bottom w:val="single" w:sz="4" w:color="C8D2E8"/>
              <w:right w:val="single" w:sz="4" w:color="C8D2E8"/>
            </w:tcBorders>
          </w:tcPr>
          <w:p>
            <w:r>
              <w:rPr>
                <w:b/>
                <w:color w:val="0B3D91"/>
                <w:sz w:val="22"/>
              </w:rPr>
              <w:t>How to</w:t>
            </w:r>
          </w:p>
          <w:p>
            <w:r>
              <w:rPr>
                <w:b/>
                <w:color w:val="0B3D91"/>
              </w:rPr>
              <w:t xml:space="preserve">1. </w:t>
            </w:r>
            <w:r>
              <w:t xml:space="preserve">Open </w:t>
            </w:r>
            <w:r>
              <w:rPr>
                <w:b/>
              </w:rPr>
              <w:t>Options</w:t>
            </w:r>
            <w:r>
              <w:t xml:space="preserve"> in the toolbar.</w:t>
            </w:r>
          </w:p>
          <w:p>
            <w:r>
              <w:rPr>
                <w:b/>
                <w:color w:val="0B3D91"/>
              </w:rPr>
              <w:t xml:space="preserve">2. </w:t>
            </w:r>
            <w:r>
              <w:t xml:space="preserve">Open </w:t>
            </w:r>
            <w:r>
              <w:rPr>
                <w:b/>
              </w:rPr>
              <w:t>Filter by Resource Request Status</w:t>
            </w:r>
            <w:r>
              <w:t xml:space="preserve"> and tick </w:t>
            </w:r>
            <w:r>
              <w:rPr>
                <w:b/>
              </w:rPr>
              <w:t>Pending</w:t>
            </w:r>
            <w:r>
              <w:t>.</w:t>
            </w:r>
          </w:p>
          <w:p>
            <w:r>
              <w:rPr>
                <w:b/>
                <w:color w:val="0B3D91"/>
              </w:rPr>
              <w:t xml:space="preserve">3. </w:t>
            </w:r>
            <w:r>
              <w:t>The grid filters down to assignments waiting for your action.</w:t>
            </w:r>
          </w:p>
          <w:p>
            <w:r>
              <w:rPr>
                <w:b/>
                <w:color w:val="0B3D91"/>
              </w:rPr>
              <w:t xml:space="preserve">4. </w:t>
            </w:r>
            <w:r>
              <w:t xml:space="preserve">Approve / replace / reject row by row, then </w:t>
            </w:r>
            <w:r>
              <w:rPr>
                <w:b/>
              </w:rPr>
              <w:t>Save</w:t>
            </w:r>
            <w:r>
              <w:t>.</w:t>
            </w:r>
          </w:p>
        </w:tc>
      </w:tr>
    </w:tbl>
    <w:p/>
    <w:tbl>
      <w:tblPr>
        <w:tblW w:type="auto" w:w="0"/>
        <w:tblLook w:firstColumn="1" w:firstRow="1" w:lastColumn="0" w:lastRow="0" w:noHBand="0" w:noVBand="1" w:val="04A0"/>
      </w:tblPr>
      <w:tblGrid>
        <w:gridCol w:w="9972"/>
      </w:tblGrid>
      <w:tr>
        <w:tc>
          <w:tcPr>
            <w:tcW w:type="dxa" w:w="9972"/>
            <w:shd w:val="clear" w:color="auto" w:fill="EAF7EE"/>
          </w:tcPr>
          <w:p>
            <w:r>
              <w:rPr>
                <w:b/>
                <w:color w:val="1E7A3C"/>
              </w:rPr>
              <w:t xml:space="preserve">Tip: </w:t>
            </w:r>
            <w:r>
              <w:t>Public views are read-only. Clone the public view first if you want to tweak filters or columns and keep them across sessions.</w:t>
            </w:r>
          </w:p>
        </w:tc>
      </w:tr>
    </w:tbl>
    <w:p/>
    <w:p>
      <w:pPr>
        <w:pStyle w:val="Heading1"/>
      </w:pPr>
      <w:r>
        <w:t>Reporting Basics</w:t>
      </w:r>
    </w:p>
    <w:tbl>
      <w:tblPr>
        <w:tblW w:type="auto" w:w="0"/>
        <w:tblLayout w:type="autofit"/>
        <w:tblLook w:firstColumn="1" w:firstRow="1" w:lastColumn="0" w:lastRow="0" w:noHBand="0" w:noVBand="1" w:val="04A0"/>
      </w:tblPr>
      <w:tblGrid>
        <w:gridCol w:w="9972"/>
      </w:tblGrid>
      <w:tr>
        <w:tc>
          <w:tcPr>
            <w:tcW w:type="dxa" w:w="1474"/>
            <w:shd w:val="clear" w:color="auto" w:fill="5B2A86"/>
          </w:tcPr>
          <w:p>
            <w:pPr>
              <w:jc w:val="center"/>
            </w:pPr>
            <w:r>
              <w:rPr>
                <w:b/>
                <w:color w:val="FFFFFF"/>
                <w:sz w:val="18"/>
              </w:rPr>
              <w:t>Both</w:t>
            </w:r>
          </w:p>
        </w:tc>
      </w:tr>
    </w:tbl>
    <w:p/>
    <w:tbl>
      <w:tblPr>
        <w:tblW w:type="auto" w:w="0"/>
        <w:tblLayout w:type="autofit"/>
        <w:tblLook w:firstColumn="1" w:firstRow="1" w:lastColumn="0" w:lastRow="0" w:noHBand="0" w:noVBand="1" w:val="04A0"/>
      </w:tblPr>
      <w:tblGrid>
        <w:gridCol w:w="9972"/>
      </w:tblGrid>
      <w:tr>
        <w:tc>
          <w:tcPr>
            <w:tcW w:type="dxa" w:w="9972"/>
            <w:shd w:val="clear" w:color="auto" w:fill="EAF3FF"/>
            <w:tcBorders>
              <w:top w:val="single" w:sz="4" w:color="C8D2E8"/>
              <w:left w:val="single" w:sz="4" w:color="C8D2E8"/>
              <w:bottom w:val="single" w:sz="4" w:color="C8D2E8"/>
              <w:right w:val="single" w:sz="4" w:color="C8D2E8"/>
            </w:tcBorders>
          </w:tcPr>
          <w:p>
            <w:r>
              <w:rPr>
                <w:b/>
                <w:color w:val="0B3D91"/>
                <w:sz w:val="22"/>
              </w:rPr>
              <w:t>At a glance</w:t>
            </w:r>
          </w:p>
          <w:p>
            <w:r>
              <w:rPr>
                <w:b/>
                <w:color w:val="0B3D91"/>
              </w:rPr>
              <w:t xml:space="preserve">• </w:t>
            </w:r>
            <w:r>
              <w:t xml:space="preserve">Reports live in the </w:t>
            </w:r>
            <w:r>
              <w:rPr>
                <w:b/>
              </w:rPr>
              <w:t>Report Management</w:t>
            </w:r>
            <w:r>
              <w:t xml:space="preserve"> tile.</w:t>
            </w:r>
          </w:p>
          <w:p>
            <w:r>
              <w:rPr>
                <w:b/>
                <w:color w:val="0B3D91"/>
              </w:rPr>
              <w:t xml:space="preserve">• </w:t>
            </w:r>
            <w:r>
              <w:t xml:space="preserve">Planners typically </w:t>
            </w:r>
            <w:r>
              <w:rPr>
                <w:b/>
              </w:rPr>
              <w:t>consume</w:t>
            </w:r>
            <w:r>
              <w:t xml:space="preserve"> reports built by Controlling / PPM rather than build new ones.</w:t>
            </w:r>
          </w:p>
          <w:p>
            <w:r>
              <w:rPr>
                <w:b/>
                <w:color w:val="0B3D91"/>
              </w:rPr>
              <w:t xml:space="preserve">• </w:t>
            </w:r>
            <w:r>
              <w:t xml:space="preserve">PM/SM at Knauf does not see the "create new report" tiles, only the </w:t>
            </w:r>
            <w:r>
              <w:rPr>
                <w:b/>
              </w:rPr>
              <w:t>Report list</w:t>
            </w:r>
            <w:r>
              <w:t>.</w:t>
            </w:r>
          </w:p>
          <w:p>
            <w:r>
              <w:rPr>
                <w:b/>
                <w:color w:val="0B3D91"/>
              </w:rPr>
              <w:t xml:space="preserve">• </w:t>
            </w:r>
            <w:r>
              <w:t xml:space="preserve">Reports tagged </w:t>
            </w:r>
            <w:r>
              <w:rPr>
                <w:rFonts w:ascii="Consolas" w:hAnsi="Consolas"/>
                <w:sz w:val="20"/>
              </w:rPr>
              <w:t>LIVE DATA</w:t>
            </w:r>
            <w:r>
              <w:t xml:space="preserve"> (green badge) refresh automatically every time you open them.</w:t>
            </w:r>
          </w:p>
        </w:tc>
      </w:tr>
    </w:tbl>
    <w:p/>
    <w:p>
      <w:pPr>
        <w:pStyle w:val="Heading2"/>
      </w:pPr>
      <w:r>
        <w:t>What PM/SM Sees</w:t>
      </w:r>
    </w:p>
    <w:p>
      <w:r>
        <w:t xml:space="preserve">A focused report list with the Knauf-managed reports. No tiles to create new reports—layout authoring is reserved for elevated roles. The slender capture shows how Planner accounts simply pick a workbook and open. </w:t>
      </w:r>
      <w:r>
        <w:drawing>
          <wp:inline xmlns:a="http://schemas.openxmlformats.org/drawingml/2006/main" xmlns:pic="http://schemas.openxmlformats.org/drawingml/2006/picture">
            <wp:extent cx="3311999" cy="3085593"/>
            <wp:docPr id="30" name="Picture 30"/>
            <wp:cNvGraphicFramePr>
              <a:graphicFrameLocks noChangeAspect="1"/>
            </wp:cNvGraphicFramePr>
            <a:graphic>
              <a:graphicData uri="http://schemas.openxmlformats.org/drawingml/2006/picture">
                <pic:pic>
                  <pic:nvPicPr>
                    <pic:cNvPr id="0" name="qrg_10_reports_pmsm.png"/>
                    <pic:cNvPicPr/>
                  </pic:nvPicPr>
                  <pic:blipFill>
                    <a:blip r:embed="rId32"/>
                    <a:stretch>
                      <a:fillRect/>
                    </a:stretch>
                  </pic:blipFill>
                  <pic:spPr>
                    <a:xfrm>
                      <a:off x="0" y="0"/>
                      <a:ext cx="3311999" cy="3085593"/>
                    </a:xfrm>
                    <a:prstGeom prst="rect"/>
                  </pic:spPr>
                </pic:pic>
              </a:graphicData>
            </a:graphic>
          </wp:inline>
        </w:drawing>
      </w:r>
    </w:p>
    <w:p>
      <w:pPr>
        <w:pStyle w:val="Heading2"/>
      </w:pPr>
      <w:r>
        <w:t>Report Columns</w:t>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Column</w:t>
            </w:r>
          </w:p>
        </w:tc>
        <w:tc>
          <w:tcPr>
            <w:tcW w:type="dxa" w:w="4819"/>
            <w:shd w:val="clear" w:color="auto" w:fill="0B3D91"/>
          </w:tcPr>
          <w:p>
            <w:r>
              <w:rPr>
                <w:b/>
                <w:color w:val="FFFFFF"/>
                <w:sz w:val="20"/>
              </w:rPr>
              <w:t>Use</w:t>
            </w:r>
          </w:p>
        </w:tc>
      </w:tr>
      <w:tr>
        <w:tc>
          <w:tcPr>
            <w:tcW w:type="dxa" w:w="4819"/>
          </w:tcPr>
          <w:p>
            <w:r>
              <w:rPr>
                <w:b/>
                <w:sz w:val="20"/>
              </w:rPr>
              <w:t>Name</w:t>
            </w:r>
          </w:p>
        </w:tc>
        <w:tc>
          <w:tcPr>
            <w:tcW w:type="dxa" w:w="4819"/>
          </w:tcPr>
          <w:p>
            <w:r>
              <w:rPr>
                <w:sz w:val="20"/>
              </w:rPr>
              <w:t>Click to open the report.</w:t>
            </w:r>
          </w:p>
        </w:tc>
      </w:tr>
      <w:tr>
        <w:tc>
          <w:tcPr>
            <w:tcW w:type="dxa" w:w="4819"/>
            <w:shd w:val="clear" w:color="auto" w:fill="F5F7FB"/>
          </w:tcPr>
          <w:p>
            <w:r>
              <w:rPr>
                <w:b/>
                <w:sz w:val="20"/>
              </w:rPr>
              <w:t>Source Mode</w:t>
            </w:r>
          </w:p>
        </w:tc>
        <w:tc>
          <w:tcPr>
            <w:tcW w:type="dxa" w:w="4819"/>
            <w:shd w:val="clear" w:color="auto" w:fill="F5F7FB"/>
          </w:tcPr>
          <w:p>
            <w:r>
              <w:rPr>
                <w:rFonts w:ascii="Consolas" w:hAnsi="Consolas"/>
                <w:sz w:val="20"/>
              </w:rPr>
              <w:t>LIVE DATA</w:t>
            </w:r>
            <w:r>
              <w:rPr>
                <w:sz w:val="20"/>
              </w:rPr>
              <w:t xml:space="preserve"> means refreshed on every open.</w:t>
            </w:r>
          </w:p>
        </w:tc>
      </w:tr>
      <w:tr>
        <w:tc>
          <w:tcPr>
            <w:tcW w:type="dxa" w:w="4819"/>
          </w:tcPr>
          <w:p>
            <w:r>
              <w:rPr>
                <w:b/>
                <w:sz w:val="20"/>
              </w:rPr>
              <w:t>Description</w:t>
            </w:r>
          </w:p>
        </w:tc>
        <w:tc>
          <w:tcPr>
            <w:tcW w:type="dxa" w:w="4819"/>
          </w:tcPr>
          <w:p>
            <w:r>
              <w:rPr>
                <w:sz w:val="20"/>
              </w:rPr>
              <w:t>Short summary maintained by the owner.</w:t>
            </w:r>
          </w:p>
        </w:tc>
      </w:tr>
      <w:tr>
        <w:tc>
          <w:tcPr>
            <w:tcW w:type="dxa" w:w="4819"/>
            <w:shd w:val="clear" w:color="auto" w:fill="F5F7FB"/>
          </w:tcPr>
          <w:p>
            <w:r>
              <w:rPr>
                <w:b/>
                <w:sz w:val="20"/>
              </w:rPr>
              <w:t>Owner / Updated By</w:t>
            </w:r>
          </w:p>
        </w:tc>
        <w:tc>
          <w:tcPr>
            <w:tcW w:type="dxa" w:w="4819"/>
            <w:shd w:val="clear" w:color="auto" w:fill="F5F7FB"/>
          </w:tcPr>
          <w:p>
            <w:r>
              <w:rPr>
                <w:sz w:val="20"/>
              </w:rPr>
              <w:t>The Knauf colleague responsible.</w:t>
            </w:r>
          </w:p>
        </w:tc>
      </w:tr>
      <w:tr>
        <w:tc>
          <w:tcPr>
            <w:tcW w:type="dxa" w:w="4819"/>
          </w:tcPr>
          <w:p>
            <w:r>
              <w:rPr>
                <w:b/>
                <w:sz w:val="20"/>
              </w:rPr>
              <w:t>Created On / Updated On</w:t>
            </w:r>
          </w:p>
        </w:tc>
        <w:tc>
          <w:tcPr>
            <w:tcW w:type="dxa" w:w="4819"/>
          </w:tcPr>
          <w:p>
            <w:r>
              <w:rPr>
                <w:sz w:val="20"/>
              </w:rPr>
              <w:t>Dates.</w:t>
            </w:r>
          </w:p>
        </w:tc>
      </w:tr>
    </w:tbl>
    <w:p/>
    <w:p>
      <w:pPr>
        <w:pStyle w:val="Heading2"/>
      </w:pPr>
      <w:r>
        <w:t>Recurring Knauf Reports Worth Knowing</w:t>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Report</w:t>
            </w:r>
          </w:p>
        </w:tc>
        <w:tc>
          <w:tcPr>
            <w:tcW w:type="dxa" w:w="4819"/>
            <w:shd w:val="clear" w:color="auto" w:fill="0B3D91"/>
          </w:tcPr>
          <w:p>
            <w:r>
              <w:rPr>
                <w:b/>
                <w:color w:val="FFFFFF"/>
                <w:sz w:val="20"/>
              </w:rPr>
              <w:t>What it shows</w:t>
            </w:r>
          </w:p>
        </w:tc>
      </w:tr>
      <w:tr>
        <w:tc>
          <w:tcPr>
            <w:tcW w:type="dxa" w:w="4819"/>
          </w:tcPr>
          <w:p>
            <w:r>
              <w:rPr>
                <w:b/>
                <w:sz w:val="20"/>
              </w:rPr>
              <w:t>Resource planning per product/platform</w:t>
            </w:r>
          </w:p>
        </w:tc>
        <w:tc>
          <w:tcPr>
            <w:tcW w:type="dxa" w:w="4819"/>
          </w:tcPr>
          <w:p>
            <w:r>
              <w:rPr>
                <w:sz w:val="20"/>
              </w:rPr>
              <w:t>Capacity vs. demand by product area.</w:t>
            </w:r>
          </w:p>
        </w:tc>
      </w:tr>
      <w:tr>
        <w:tc>
          <w:tcPr>
            <w:tcW w:type="dxa" w:w="4819"/>
            <w:shd w:val="clear" w:color="auto" w:fill="F5F7FB"/>
          </w:tcPr>
          <w:p>
            <w:r>
              <w:rPr>
                <w:b/>
                <w:sz w:val="20"/>
              </w:rPr>
              <w:t>Consulting Costs Summary</w:t>
            </w:r>
          </w:p>
        </w:tc>
        <w:tc>
          <w:tcPr>
            <w:tcW w:type="dxa" w:w="4819"/>
            <w:shd w:val="clear" w:color="auto" w:fill="F5F7FB"/>
          </w:tcPr>
          <w:p>
            <w:r>
              <w:rPr>
                <w:sz w:val="20"/>
              </w:rPr>
              <w:t>External consulting per project / division.</w:t>
            </w:r>
          </w:p>
        </w:tc>
      </w:tr>
      <w:tr>
        <w:tc>
          <w:tcPr>
            <w:tcW w:type="dxa" w:w="4819"/>
          </w:tcPr>
          <w:p>
            <w:r>
              <w:rPr>
                <w:b/>
                <w:sz w:val="20"/>
              </w:rPr>
              <w:t>Project Cost</w:t>
            </w:r>
          </w:p>
        </w:tc>
        <w:tc>
          <w:tcPr>
            <w:tcW w:type="dxa" w:w="4819"/>
          </w:tcPr>
          <w:p>
            <w:r>
              <w:rPr>
                <w:sz w:val="20"/>
              </w:rPr>
              <w:t>Total planned cost across the portfolio.</w:t>
            </w:r>
          </w:p>
        </w:tc>
      </w:tr>
      <w:tr>
        <w:tc>
          <w:tcPr>
            <w:tcW w:type="dxa" w:w="4819"/>
            <w:shd w:val="clear" w:color="auto" w:fill="F5F7FB"/>
          </w:tcPr>
          <w:p>
            <w:r>
              <w:rPr>
                <w:b/>
                <w:sz w:val="20"/>
              </w:rPr>
              <w:t>Business Portfolio total IT cost</w:t>
            </w:r>
          </w:p>
        </w:tc>
        <w:tc>
          <w:tcPr>
            <w:tcW w:type="dxa" w:w="4819"/>
            <w:shd w:val="clear" w:color="auto" w:fill="F5F7FB"/>
          </w:tcPr>
          <w:p>
            <w:r>
              <w:rPr>
                <w:sz w:val="20"/>
              </w:rPr>
              <w:t>Portfolio-level cost rollup.</w:t>
            </w:r>
          </w:p>
        </w:tc>
      </w:tr>
      <w:tr>
        <w:tc>
          <w:tcPr>
            <w:tcW w:type="dxa" w:w="4819"/>
          </w:tcPr>
          <w:p>
            <w:r>
              <w:rPr>
                <w:b/>
                <w:sz w:val="20"/>
              </w:rPr>
              <w:t>Timesheet Status / Audit</w:t>
            </w:r>
          </w:p>
        </w:tc>
        <w:tc>
          <w:tcPr>
            <w:tcW w:type="dxa" w:w="4819"/>
          </w:tcPr>
          <w:p>
            <w:r>
              <w:rPr>
                <w:sz w:val="20"/>
              </w:rPr>
              <w:t>Operational compliance views (Phase 2).</w:t>
            </w:r>
          </w:p>
        </w:tc>
      </w:tr>
      <w:tr>
        <w:tc>
          <w:tcPr>
            <w:tcW w:type="dxa" w:w="4819"/>
            <w:shd w:val="clear" w:color="auto" w:fill="F5F7FB"/>
          </w:tcPr>
          <w:p>
            <w:r>
              <w:rPr>
                <w:b/>
                <w:sz w:val="20"/>
              </w:rPr>
              <w:t>Skill Matrix Report</w:t>
            </w:r>
          </w:p>
        </w:tc>
        <w:tc>
          <w:tcPr>
            <w:tcW w:type="dxa" w:w="4819"/>
            <w:shd w:val="clear" w:color="auto" w:fill="F5F7FB"/>
          </w:tcPr>
          <w:p>
            <w:r>
              <w:rPr>
                <w:sz w:val="20"/>
              </w:rPr>
              <w:t>Capability overview across the resource pool.</w:t>
            </w:r>
          </w:p>
        </w:tc>
      </w:tr>
    </w:tbl>
    <w:p/>
    <w:tbl>
      <w:tblPr>
        <w:tblW w:type="auto" w:w="0"/>
        <w:tblLook w:firstColumn="1" w:firstRow="1" w:lastColumn="0" w:lastRow="0" w:noHBand="0" w:noVBand="1" w:val="04A0"/>
      </w:tblPr>
      <w:tblGrid>
        <w:gridCol w:w="9972"/>
      </w:tblGrid>
      <w:tr>
        <w:tc>
          <w:tcPr>
            <w:tcW w:type="dxa" w:w="9972"/>
            <w:shd w:val="clear" w:color="auto" w:fill="EAF1FB"/>
          </w:tcPr>
          <w:p>
            <w:r>
              <w:rPr>
                <w:b/>
                <w:color w:val="0B3D91"/>
              </w:rPr>
              <w:t xml:space="preserve">Note: </w:t>
            </w:r>
            <w:r>
              <w:t>Exact report names and contents depend on what your Knauf admin has shared with your role. If a report you need is missing, ask the owner (visible in the Owner column) to grant access.</w:t>
            </w:r>
          </w:p>
        </w:tc>
      </w:tr>
    </w:tbl>
    <w:p/>
    <w:p>
      <w:pPr>
        <w:pStyle w:val="Heading2"/>
      </w:pPr>
      <w:r>
        <w:t>Tabs</w:t>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Tab</w:t>
            </w:r>
          </w:p>
        </w:tc>
        <w:tc>
          <w:tcPr>
            <w:tcW w:type="dxa" w:w="4819"/>
            <w:shd w:val="clear" w:color="auto" w:fill="0B3D91"/>
          </w:tcPr>
          <w:p>
            <w:r>
              <w:rPr>
                <w:b/>
                <w:color w:val="FFFFFF"/>
                <w:sz w:val="20"/>
              </w:rPr>
              <w:t>Purpose</w:t>
            </w:r>
          </w:p>
        </w:tc>
      </w:tr>
      <w:tr>
        <w:tc>
          <w:tcPr>
            <w:tcW w:type="dxa" w:w="4819"/>
          </w:tcPr>
          <w:p>
            <w:r>
              <w:rPr>
                <w:b/>
                <w:sz w:val="20"/>
              </w:rPr>
              <w:t>Report list</w:t>
            </w:r>
          </w:p>
        </w:tc>
        <w:tc>
          <w:tcPr>
            <w:tcW w:type="dxa" w:w="4819"/>
          </w:tcPr>
          <w:p>
            <w:r>
              <w:rPr>
                <w:sz w:val="20"/>
              </w:rPr>
              <w:t>The default list of reports you can access.</w:t>
            </w:r>
          </w:p>
        </w:tc>
      </w:tr>
      <w:tr>
        <w:tc>
          <w:tcPr>
            <w:tcW w:type="dxa" w:w="4819"/>
            <w:shd w:val="clear" w:color="auto" w:fill="F5F7FB"/>
          </w:tcPr>
          <w:p>
            <w:r>
              <w:rPr>
                <w:b/>
                <w:sz w:val="20"/>
              </w:rPr>
              <w:t>Report folder</w:t>
            </w:r>
          </w:p>
        </w:tc>
        <w:tc>
          <w:tcPr>
            <w:tcW w:type="dxa" w:w="4819"/>
            <w:shd w:val="clear" w:color="auto" w:fill="F5F7FB"/>
          </w:tcPr>
          <w:p>
            <w:r>
              <w:rPr>
                <w:sz w:val="20"/>
              </w:rPr>
              <w:t>Folder structure used by Controlling / PPM.</w:t>
            </w:r>
          </w:p>
        </w:tc>
      </w:tr>
      <w:tr>
        <w:tc>
          <w:tcPr>
            <w:tcW w:type="dxa" w:w="4819"/>
          </w:tcPr>
          <w:p>
            <w:r>
              <w:rPr>
                <w:b/>
                <w:sz w:val="20"/>
              </w:rPr>
              <w:t>Report access</w:t>
            </w:r>
          </w:p>
        </w:tc>
        <w:tc>
          <w:tcPr>
            <w:tcW w:type="dxa" w:w="4819"/>
          </w:tcPr>
          <w:p>
            <w:r>
              <w:rPr>
                <w:sz w:val="20"/>
              </w:rPr>
              <w:t>Manage visibility (owners only).</w:t>
            </w:r>
          </w:p>
        </w:tc>
      </w:tr>
      <w:tr>
        <w:tc>
          <w:tcPr>
            <w:tcW w:type="dxa" w:w="4819"/>
            <w:shd w:val="clear" w:color="auto" w:fill="F5F7FB"/>
          </w:tcPr>
          <w:p>
            <w:r>
              <w:rPr>
                <w:b/>
                <w:sz w:val="20"/>
              </w:rPr>
              <w:t>Files</w:t>
            </w:r>
          </w:p>
        </w:tc>
        <w:tc>
          <w:tcPr>
            <w:tcW w:type="dxa" w:w="4819"/>
            <w:shd w:val="clear" w:color="auto" w:fill="F5F7FB"/>
          </w:tcPr>
          <w:p>
            <w:r>
              <w:rPr>
                <w:sz w:val="20"/>
              </w:rPr>
              <w:t>File attachments linked to reports.</w:t>
            </w:r>
          </w:p>
        </w:tc>
      </w:tr>
    </w:tbl>
    <w:p/>
    <w:p>
      <w:pPr>
        <w:pStyle w:val="Heading2"/>
      </w:pPr>
      <w:r>
        <w:t>Opening and Filtering a Report</w:t>
      </w:r>
    </w:p>
    <w:tbl>
      <w:tblPr>
        <w:tblW w:type="auto" w:w="0"/>
        <w:tblLayout w:type="autofit"/>
        <w:tblLook w:firstColumn="1" w:firstRow="1" w:lastColumn="0" w:lastRow="0" w:noHBand="0" w:noVBand="1" w:val="04A0"/>
      </w:tblPr>
      <w:tblGrid>
        <w:gridCol w:w="9972"/>
      </w:tblGrid>
      <w:tr>
        <w:tc>
          <w:tcPr>
            <w:tcW w:type="dxa" w:w="9972"/>
            <w:shd w:val="clear" w:color="auto" w:fill="F5F0FF"/>
            <w:tcBorders>
              <w:top w:val="single" w:sz="4" w:color="C8D2E8"/>
              <w:left w:val="single" w:sz="4" w:color="C8D2E8"/>
              <w:bottom w:val="single" w:sz="4" w:color="C8D2E8"/>
              <w:right w:val="single" w:sz="4" w:color="C8D2E8"/>
            </w:tcBorders>
          </w:tcPr>
          <w:p>
            <w:r>
              <w:rPr>
                <w:b/>
                <w:color w:val="0B3D91"/>
                <w:sz w:val="22"/>
              </w:rPr>
              <w:t>How to</w:t>
            </w:r>
          </w:p>
          <w:p>
            <w:r>
              <w:rPr>
                <w:b/>
                <w:color w:val="0B3D91"/>
              </w:rPr>
              <w:t xml:space="preserve">1. </w:t>
            </w:r>
            <w:r>
              <w:t xml:space="preserve">Click the report name from the </w:t>
            </w:r>
            <w:r>
              <w:rPr>
                <w:b/>
              </w:rPr>
              <w:t>Report list</w:t>
            </w:r>
            <w:r>
              <w:t>.</w:t>
            </w:r>
          </w:p>
          <w:p>
            <w:r>
              <w:rPr>
                <w:b/>
                <w:color w:val="0B3D91"/>
              </w:rPr>
              <w:t xml:space="preserve">2. </w:t>
            </w:r>
            <w:r>
              <w:t xml:space="preserve">Use the </w:t>
            </w:r>
            <w:r>
              <w:rPr>
                <w:b/>
              </w:rPr>
              <w:t>filters</w:t>
            </w:r>
            <w:r>
              <w:t xml:space="preserve"> at the top of the report to narrow the scope (date range, division, portfolio).</w:t>
            </w:r>
          </w:p>
          <w:p>
            <w:r>
              <w:rPr>
                <w:b/>
                <w:color w:val="0B3D91"/>
              </w:rPr>
              <w:t xml:space="preserve">3. </w:t>
            </w:r>
            <w:r>
              <w:t xml:space="preserve">Use the </w:t>
            </w:r>
            <w:r>
              <w:rPr>
                <w:b/>
              </w:rPr>
              <w:t>export</w:t>
            </w:r>
            <w:r>
              <w:t xml:space="preserve"> action to download Excel / CSV / PDF if you need an offline copy.</w:t>
            </w:r>
          </w:p>
          <w:p>
            <w:r>
              <w:rPr>
                <w:b/>
                <w:color w:val="0B3D91"/>
              </w:rPr>
              <w:t xml:space="preserve">4. </w:t>
            </w:r>
            <w:r>
              <w:t>For repeated use, ask the owner to add you to the report's scheduled delivery (where available).</w:t>
            </w:r>
          </w:p>
        </w:tc>
      </w:tr>
    </w:tbl>
    <w:p/>
    <w:tbl>
      <w:tblPr>
        <w:tblW w:type="auto" w:w="0"/>
        <w:tblLook w:firstColumn="1" w:firstRow="1" w:lastColumn="0" w:lastRow="0" w:noHBand="0" w:noVBand="1" w:val="04A0"/>
      </w:tblPr>
      <w:tblGrid>
        <w:gridCol w:w="9972"/>
      </w:tblGrid>
      <w:tr>
        <w:tc>
          <w:tcPr>
            <w:tcW w:type="dxa" w:w="9972"/>
            <w:shd w:val="clear" w:color="auto" w:fill="EAF7EE"/>
          </w:tcPr>
          <w:p>
            <w:r>
              <w:rPr>
                <w:b/>
                <w:color w:val="1E7A3C"/>
              </w:rPr>
              <w:t xml:space="preserve">Tip: </w:t>
            </w:r>
            <w:r>
              <w:t>Build a personal homescreen workflow by subscribing to the few reports you check daily, rather than reopening Report Management every time.</w:t>
            </w:r>
          </w:p>
        </w:tc>
      </w:tr>
    </w:tbl>
    <w:p/>
    <w:p>
      <w:pPr>
        <w:pStyle w:val="Heading1"/>
      </w:pPr>
      <w:r>
        <w:t>Workflows, Locks, and Saving</w:t>
      </w:r>
    </w:p>
    <w:tbl>
      <w:tblPr>
        <w:tblW w:type="auto" w:w="0"/>
        <w:tblLayout w:type="autofit"/>
        <w:tblLook w:firstColumn="1" w:firstRow="1" w:lastColumn="0" w:lastRow="0" w:noHBand="0" w:noVBand="1" w:val="04A0"/>
      </w:tblPr>
      <w:tblGrid>
        <w:gridCol w:w="9972"/>
      </w:tblGrid>
      <w:tr>
        <w:tc>
          <w:tcPr>
            <w:tcW w:type="dxa" w:w="1474"/>
            <w:shd w:val="clear" w:color="auto" w:fill="5B2A86"/>
          </w:tcPr>
          <w:p>
            <w:pPr>
              <w:jc w:val="center"/>
            </w:pPr>
            <w:r>
              <w:rPr>
                <w:b/>
                <w:color w:val="FFFFFF"/>
                <w:sz w:val="18"/>
              </w:rPr>
              <w:t>Both</w:t>
            </w:r>
          </w:p>
        </w:tc>
      </w:tr>
    </w:tbl>
    <w:p/>
    <w:p>
      <w:r>
        <w:t xml:space="preserve">Attributes save </w:t>
      </w:r>
      <w:r>
        <w:rPr>
          <w:b/>
        </w:rPr>
        <w:t>immediately</w:t>
      </w:r>
      <w:r>
        <w:t xml:space="preserve"> via the green </w:t>
      </w:r>
      <w:r>
        <w:rPr>
          <w:b/>
        </w:rPr>
        <w:t>Save</w:t>
      </w:r>
      <w:r>
        <w:t xml:space="preserve"> — no checkout dance. </w:t>
      </w:r>
      <w:r>
        <w:rPr>
          <w:b/>
        </w:rPr>
        <w:t>Allocations</w:t>
      </w:r>
      <w:r>
        <w:t xml:space="preserve">, </w:t>
      </w:r>
      <w:r>
        <w:rPr>
          <w:b/>
        </w:rPr>
        <w:t>Financials</w:t>
      </w:r>
      <w:r>
        <w:t xml:space="preserve"> and </w:t>
      </w:r>
      <w:r>
        <w:rPr>
          <w:b/>
        </w:rPr>
        <w:t>Build Team</w:t>
      </w:r>
      <w:r>
        <w:t xml:space="preserve"> behave like multi-user editors: Tempus issues a </w:t>
      </w:r>
      <w:r>
        <w:rPr>
          <w:b/>
        </w:rPr>
        <w:t>checkout lock</w:t>
      </w:r>
      <w:r>
        <w:t xml:space="preserve"> before you may alter cells, and you close the session with </w:t>
      </w:r>
      <w:r>
        <w:rPr>
          <w:b/>
        </w:rPr>
        <w:t>Save and Check In</w:t>
      </w:r>
      <w:r>
        <w:t xml:space="preserve"> (persist + broadcast to reporting) or </w:t>
      </w:r>
      <w:r>
        <w:rPr>
          <w:b/>
        </w:rPr>
        <w:t>Release</w:t>
      </w:r>
      <w:r>
        <w:t xml:space="preserve"> (discard local scratch). While you hold the lock, colleagues see the red </w:t>
      </w:r>
      <w:r>
        <w:drawing>
          <wp:inline xmlns:a="http://schemas.openxmlformats.org/drawingml/2006/main" xmlns:pic="http://schemas.openxmlformats.org/drawingml/2006/picture">
            <wp:extent cx="152400" cy="152400"/>
            <wp:docPr id="31" name="Picture 31"/>
            <wp:cNvGraphicFramePr>
              <a:graphicFrameLocks noChangeAspect="1"/>
            </wp:cNvGraphicFramePr>
            <a:graphic>
              <a:graphicData uri="http://schemas.openxmlformats.org/drawingml/2006/picture">
                <pic:pic>
                  <pic:nvPicPr>
                    <pic:cNvPr id="0" name="icon_lock.png"/>
                    <pic:cNvPicPr/>
                  </pic:nvPicPr>
                  <pic:blipFill>
                    <a:blip r:embed="rId18"/>
                    <a:stretch>
                      <a:fillRect/>
                    </a:stretch>
                  </pic:blipFill>
                  <pic:spPr>
                    <a:xfrm>
                      <a:off x="0" y="0"/>
                      <a:ext cx="152400" cy="152400"/>
                    </a:xfrm>
                    <a:prstGeom prst="rect"/>
                  </pic:spPr>
                </pic:pic>
              </a:graphicData>
            </a:graphic>
          </wp:inline>
        </w:drawing>
      </w:r>
      <w:r>
        <w:t xml:space="preserve"> affordance and cannot check out — coordinate or ask Admin-Light for an emergency unlock if someone ghosts the session.</w:t>
      </w:r>
    </w:p>
    <w:p>
      <w:r>
        <w:t xml:space="preserve">Whenever Manday plans change, RM receives </w:t>
      </w:r>
      <w:r>
        <w:rPr>
          <w:b/>
        </w:rPr>
        <w:t>resource requests</w:t>
      </w:r>
      <w:r>
        <w:t xml:space="preserve">. Think of them as workflow envelopes: </w:t>
      </w:r>
      <w:r>
        <w:rPr>
          <w:b/>
        </w:rPr>
        <w:t>Approved</w:t>
      </w:r>
      <w:r>
        <w:t xml:space="preserve"> freezes capacity, </w:t>
      </w:r>
      <w:r>
        <w:rPr>
          <w:b/>
        </w:rPr>
        <w:t>Replaced</w:t>
      </w:r>
      <w:r>
        <w:t xml:space="preserve"> swaps a generic </w:t>
      </w:r>
      <w:r>
        <w:rPr>
          <w:rFonts w:ascii="Consolas" w:hAnsi="Consolas"/>
          <w:sz w:val="20"/>
        </w:rPr>
        <w:t>*Role</w:t>
      </w:r>
      <w:r>
        <w:t xml:space="preserve"> for a named colleague, </w:t>
      </w:r>
      <w:r>
        <w:rPr>
          <w:b/>
        </w:rPr>
        <w:t>Rejected</w:t>
      </w:r>
      <w:r>
        <w:t xml:space="preserve"> rolls edits back and paints the status chip red in the grid legend.</w:t>
      </w:r>
    </w:p>
    <w:tbl>
      <w:tblPr>
        <w:tblW w:type="auto" w:w="0"/>
        <w:tblLayout w:type="autofit"/>
        <w:tblLook w:firstColumn="1" w:firstRow="1" w:lastColumn="0" w:lastRow="0" w:noHBand="0" w:noVBand="1" w:val="04A0"/>
      </w:tblPr>
      <w:tblGrid>
        <w:gridCol w:w="3324"/>
        <w:gridCol w:w="3324"/>
        <w:gridCol w:w="3324"/>
      </w:tblGrid>
      <w:tr>
        <w:tc>
          <w:tcPr>
            <w:tcW w:type="dxa" w:w="3213"/>
            <w:shd w:val="clear" w:color="auto" w:fill="0B3D91"/>
          </w:tcPr>
          <w:p>
            <w:r>
              <w:rPr>
                <w:b/>
                <w:color w:val="FFFFFF"/>
                <w:sz w:val="20"/>
              </w:rPr>
              <w:t>View</w:t>
            </w:r>
          </w:p>
        </w:tc>
        <w:tc>
          <w:tcPr>
            <w:tcW w:type="dxa" w:w="3213"/>
            <w:shd w:val="clear" w:color="auto" w:fill="0B3D91"/>
          </w:tcPr>
          <w:p>
            <w:r>
              <w:rPr>
                <w:b/>
                <w:color w:val="FFFFFF"/>
                <w:sz w:val="20"/>
              </w:rPr>
              <w:t>Lock?</w:t>
            </w:r>
          </w:p>
        </w:tc>
        <w:tc>
          <w:tcPr>
            <w:tcW w:type="dxa" w:w="3213"/>
            <w:shd w:val="clear" w:color="auto" w:fill="0B3D91"/>
          </w:tcPr>
          <w:p>
            <w:r>
              <w:rPr>
                <w:b/>
                <w:color w:val="FFFFFF"/>
                <w:sz w:val="20"/>
              </w:rPr>
              <w:t>Persist path</w:t>
            </w:r>
          </w:p>
        </w:tc>
      </w:tr>
      <w:tr>
        <w:tc>
          <w:tcPr>
            <w:tcW w:type="dxa" w:w="3213"/>
          </w:tcPr>
          <w:p>
            <w:r>
              <w:rPr>
                <w:b/>
                <w:sz w:val="20"/>
              </w:rPr>
              <w:t>Attributes</w:t>
            </w:r>
          </w:p>
        </w:tc>
        <w:tc>
          <w:tcPr>
            <w:tcW w:type="dxa" w:w="3213"/>
          </w:tcPr>
          <w:p>
            <w:r>
              <w:rPr>
                <w:sz w:val="20"/>
              </w:rPr>
              <w:t>No</w:t>
            </w:r>
          </w:p>
        </w:tc>
        <w:tc>
          <w:tcPr>
            <w:tcW w:type="dxa" w:w="3213"/>
          </w:tcPr>
          <w:p>
            <w:r>
              <w:rPr>
                <w:b/>
                <w:sz w:val="20"/>
              </w:rPr>
              <w:t>Save</w:t>
            </w:r>
            <w:r>
              <w:rPr>
                <w:sz w:val="20"/>
              </w:rPr>
              <w:t xml:space="preserve"> (top-left).</w:t>
            </w:r>
          </w:p>
        </w:tc>
      </w:tr>
      <w:tr>
        <w:tc>
          <w:tcPr>
            <w:tcW w:type="dxa" w:w="3213"/>
            <w:shd w:val="clear" w:color="auto" w:fill="F5F7FB"/>
          </w:tcPr>
          <w:p>
            <w:r>
              <w:rPr>
                <w:b/>
                <w:sz w:val="20"/>
              </w:rPr>
              <w:t>Allocations / Financials / Build Team</w:t>
            </w:r>
          </w:p>
        </w:tc>
        <w:tc>
          <w:tcPr>
            <w:tcW w:type="dxa" w:w="3213"/>
            <w:shd w:val="clear" w:color="auto" w:fill="F5F7FB"/>
          </w:tcPr>
          <w:p>
            <w:r>
              <w:rPr>
                <w:sz w:val="20"/>
              </w:rPr>
              <w:t xml:space="preserve">Yes </w:t>
            </w:r>
            <w:r>
              <w:rPr>
                <w:sz w:val="20"/>
              </w:rPr>
              <w:drawing>
                <wp:inline xmlns:a="http://schemas.openxmlformats.org/drawingml/2006/main" xmlns:pic="http://schemas.openxmlformats.org/drawingml/2006/picture">
                  <wp:extent cx="152400" cy="152400"/>
                  <wp:docPr id="32" name="Picture 32"/>
                  <wp:cNvGraphicFramePr>
                    <a:graphicFrameLocks noChangeAspect="1"/>
                  </wp:cNvGraphicFramePr>
                  <a:graphic>
                    <a:graphicData uri="http://schemas.openxmlformats.org/drawingml/2006/picture">
                      <pic:pic>
                        <pic:nvPicPr>
                          <pic:cNvPr id="0" name="icon_lock.png"/>
                          <pic:cNvPicPr/>
                        </pic:nvPicPr>
                        <pic:blipFill>
                          <a:blip r:embed="rId18"/>
                          <a:stretch>
                            <a:fillRect/>
                          </a:stretch>
                        </pic:blipFill>
                        <pic:spPr>
                          <a:xfrm>
                            <a:off x="0" y="0"/>
                            <a:ext cx="152400" cy="152400"/>
                          </a:xfrm>
                          <a:prstGeom prst="rect"/>
                        </pic:spPr>
                      </pic:pic>
                    </a:graphicData>
                  </a:graphic>
                </wp:inline>
              </w:drawing>
            </w:r>
          </w:p>
        </w:tc>
        <w:tc>
          <w:tcPr>
            <w:tcW w:type="dxa" w:w="3213"/>
            <w:shd w:val="clear" w:color="auto" w:fill="F5F7FB"/>
          </w:tcPr>
          <w:p>
            <w:r>
              <w:rPr>
                <w:b/>
                <w:sz w:val="20"/>
              </w:rPr>
              <w:t>Checkout → edit → Save and Check In / Release</w:t>
            </w:r>
            <w:r>
              <w:rPr>
                <w:sz w:val="20"/>
              </w:rPr>
              <w:t>.</w:t>
            </w:r>
          </w:p>
        </w:tc>
      </w:tr>
      <w:tr>
        <w:tc>
          <w:tcPr>
            <w:tcW w:type="dxa" w:w="3213"/>
          </w:tcPr>
          <w:p>
            <w:r>
              <w:rPr>
                <w:b/>
                <w:sz w:val="20"/>
              </w:rPr>
              <w:t>Reports (planner profile)</w:t>
            </w:r>
          </w:p>
        </w:tc>
        <w:tc>
          <w:tcPr>
            <w:tcW w:type="dxa" w:w="3213"/>
          </w:tcPr>
          <w:p>
            <w:r>
              <w:rPr>
                <w:sz w:val="20"/>
              </w:rPr>
              <w:t>—</w:t>
            </w:r>
          </w:p>
        </w:tc>
        <w:tc>
          <w:tcPr>
            <w:tcW w:type="dxa" w:w="3213"/>
          </w:tcPr>
          <w:p>
            <w:r>
              <w:rPr>
                <w:sz w:val="20"/>
              </w:rPr>
              <w:t>Filter chrome is personal; does not publish.</w:t>
            </w:r>
          </w:p>
        </w:tc>
      </w:tr>
    </w:tbl>
    <w:p/>
    <w:p>
      <w:r>
        <w:rPr>
          <w:b/>
        </w:rPr>
        <w:t>Concurrent edit triage</w:t>
      </w:r>
      <w:r>
        <w:t xml:space="preserve"> in one breath: greyed </w:t>
      </w:r>
      <w:r>
        <w:rPr>
          <w:b/>
        </w:rPr>
        <w:t>Save</w:t>
      </w:r>
      <w:r>
        <w:t xml:space="preserve"> ⇒ you forgot </w:t>
      </w:r>
      <w:r>
        <w:rPr>
          <w:b/>
        </w:rPr>
        <w:t>Checkout</w:t>
      </w:r>
      <w:r>
        <w:t xml:space="preserve">; greyed </w:t>
      </w:r>
      <w:r>
        <w:rPr>
          <w:b/>
        </w:rPr>
        <w:t>Checkout</w:t>
      </w:r>
      <w:r>
        <w:t xml:space="preserve"> ⇒ someone else (or you in another tab) still owns the database row; numbers missing in portfolio reports ⇒ you only staged work — run </w:t>
      </w:r>
      <w:r>
        <w:rPr>
          <w:b/>
        </w:rPr>
        <w:t>Save and Check In</w:t>
      </w:r>
      <w:r>
        <w:t>; odd audit entries after collaboration ⇒ compare notes, seldom a product bug.</w:t>
      </w:r>
    </w:p>
    <w:tbl>
      <w:tblPr>
        <w:tblW w:type="auto" w:w="0"/>
        <w:tblLook w:firstColumn="1" w:firstRow="1" w:lastColumn="0" w:lastRow="0" w:noHBand="0" w:noVBand="1" w:val="04A0"/>
      </w:tblPr>
      <w:tblGrid>
        <w:gridCol w:w="9972"/>
      </w:tblGrid>
      <w:tr>
        <w:tc>
          <w:tcPr>
            <w:tcW w:type="dxa" w:w="9972"/>
            <w:shd w:val="clear" w:color="auto" w:fill="FBEAEA"/>
          </w:tcPr>
          <w:p>
            <w:r>
              <w:rPr>
                <w:b/>
                <w:color w:val="B0312F"/>
              </w:rPr>
              <w:t xml:space="preserve">Warning: </w:t>
            </w:r>
            <w:r>
              <w:t xml:space="preserve">Closing the browser mid-checkout does </w:t>
            </w:r>
            <w:r>
              <w:rPr>
                <w:b/>
              </w:rPr>
              <w:t>not</w:t>
            </w:r>
            <w:r>
              <w:t xml:space="preserve"> auto-release — reopen the same project and finish with </w:t>
            </w:r>
            <w:r>
              <w:rPr>
                <w:b/>
              </w:rPr>
              <w:t>Save and Check In</w:t>
            </w:r>
            <w:r>
              <w:t xml:space="preserve"> or </w:t>
            </w:r>
            <w:r>
              <w:rPr>
                <w:b/>
              </w:rPr>
              <w:t>Release</w:t>
            </w:r>
            <w:r>
              <w:t>.</w:t>
            </w:r>
          </w:p>
        </w:tc>
      </w:tr>
    </w:tbl>
    <w:p/>
    <w:p>
      <w:r>
        <w:rPr>
          <w:b/>
        </w:rPr>
        <w:t>Resource request choreography</w:t>
      </w:r>
      <w:r>
        <w:t xml:space="preserve"> (mental model): </w:t>
      </w:r>
      <w:r>
        <w:rPr>
          <w:rFonts w:ascii="Consolas" w:hAnsi="Consolas"/>
          <w:sz w:val="20"/>
        </w:rPr>
        <w:t>PM/SM edits grid → request Pending → RM Approves / Replaces / Rejects → row colour + RM comments visible to PM/SM.</w:t>
      </w:r>
      <w:r>
        <w:t xml:space="preserve"> Keep an eye on in-app notifications + subscription settings from the homescreen chapter.</w:t>
      </w:r>
    </w:p>
    <w:p>
      <w:r>
        <w:rPr>
          <w:b/>
        </w:rPr>
        <w:t>Naming discipline</w:t>
      </w:r>
      <w:r>
        <w:t xml:space="preserve"> still pays dividends: </w:t>
      </w:r>
      <w:r>
        <w:rPr>
          <w:rFonts w:ascii="Consolas" w:hAnsi="Consolas"/>
          <w:sz w:val="20"/>
        </w:rPr>
        <w:t>Division | Region | Tower | Theme</w:t>
      </w:r>
      <w:r>
        <w:t xml:space="preserve"> for projects, </w:t>
      </w:r>
      <w:r>
        <w:rPr>
          <w:rFonts w:ascii="Consolas" w:hAnsi="Consolas"/>
          <w:sz w:val="20"/>
        </w:rPr>
        <w:t>Service &lt;Capability&gt;</w:t>
      </w:r>
      <w:r>
        <w:t xml:space="preserve"> for ops services, unique </w:t>
      </w:r>
      <w:r>
        <w:rPr>
          <w:b/>
        </w:rPr>
        <w:t>Ext. Project Numbers</w:t>
      </w:r>
      <w:r>
        <w:t xml:space="preserve">, WBS strings like </w:t>
      </w:r>
      <w:r>
        <w:rPr>
          <w:rFonts w:ascii="Consolas" w:hAnsi="Consolas"/>
          <w:sz w:val="20"/>
        </w:rPr>
        <w:t>A.0248.10.000460.&lt;id&gt;</w:t>
      </w:r>
      <w:r>
        <w:t>. Reports and quick filters inherit those tokens verbatim.</w:t>
      </w:r>
    </w:p>
    <w:tbl>
      <w:tblPr>
        <w:tblW w:type="auto" w:w="0"/>
        <w:tblLook w:firstColumn="1" w:firstRow="1" w:lastColumn="0" w:lastRow="0" w:noHBand="0" w:noVBand="1" w:val="04A0"/>
      </w:tblPr>
      <w:tblGrid>
        <w:gridCol w:w="9972"/>
      </w:tblGrid>
      <w:tr>
        <w:tc>
          <w:tcPr>
            <w:tcW w:type="dxa" w:w="9972"/>
            <w:shd w:val="clear" w:color="auto" w:fill="EAF7EE"/>
          </w:tcPr>
          <w:p>
            <w:r>
              <w:rPr>
                <w:b/>
                <w:color w:val="1E7A3C"/>
              </w:rPr>
              <w:t xml:space="preserve">Tip: </w:t>
            </w:r>
            <w:r>
              <w:t xml:space="preserve">For lock icon semantics straight from the vendor, cross-read the Help Center community note </w:t>
            </w:r>
            <w:r>
              <w:rPr>
                <w:i/>
              </w:rPr>
              <w:t>Locking Your View</w:t>
            </w:r>
            <w:r>
              <w:t xml:space="preserve"> alongside this chapter — the iconography is intentionally shared between view management and project checkout.</w:t>
            </w:r>
          </w:p>
        </w:tc>
      </w:tr>
    </w:tbl>
    <w:p/>
    <w:p>
      <w:pPr>
        <w:pStyle w:val="Heading1"/>
      </w:pPr>
      <w:r>
        <w:t>FAQ and Troubleshooting</w:t>
      </w:r>
    </w:p>
    <w:tbl>
      <w:tblPr>
        <w:tblW w:type="auto" w:w="0"/>
        <w:tblLayout w:type="autofit"/>
        <w:tblLook w:firstColumn="1" w:firstRow="1" w:lastColumn="0" w:lastRow="0" w:noHBand="0" w:noVBand="1" w:val="04A0"/>
      </w:tblPr>
      <w:tblGrid>
        <w:gridCol w:w="9972"/>
      </w:tblGrid>
      <w:tr>
        <w:tc>
          <w:tcPr>
            <w:tcW w:type="dxa" w:w="1474"/>
            <w:shd w:val="clear" w:color="auto" w:fill="5B2A86"/>
          </w:tcPr>
          <w:p>
            <w:pPr>
              <w:jc w:val="center"/>
            </w:pPr>
            <w:r>
              <w:rPr>
                <w:b/>
                <w:color w:val="FFFFFF"/>
                <w:sz w:val="18"/>
              </w:rPr>
              <w:t>Both</w:t>
            </w:r>
          </w:p>
        </w:tc>
      </w:tr>
    </w:tbl>
    <w:p/>
    <w:p>
      <w:r>
        <w:t xml:space="preserve">Most anomalies are </w:t>
      </w:r>
      <w:r>
        <w:rPr>
          <w:b/>
        </w:rPr>
        <w:t>permissions</w:t>
      </w:r>
      <w:r>
        <w:t xml:space="preserve"> or </w:t>
      </w:r>
      <w:r>
        <w:rPr>
          <w:b/>
        </w:rPr>
        <w:t>locking</w:t>
      </w:r>
      <w:r>
        <w:t xml:space="preserve"> — review the project </w:t>
      </w:r>
      <w:r>
        <w:rPr>
          <w:b/>
        </w:rPr>
        <w:t>Audit Log</w:t>
      </w:r>
      <w:r>
        <w:t xml:space="preserve"> before escalating.</w:t>
      </w:r>
    </w:p>
    <w:p>
      <w:pPr>
        <w:pStyle w:val="Heading3"/>
      </w:pPr>
      <w:r>
        <w:t>Homescreen shows only two tiles</w:t>
      </w:r>
    </w:p>
    <w:p>
      <w:r>
        <w:t xml:space="preserve">Expected PM/SM layout: </w:t>
      </w:r>
      <w:r>
        <w:rPr>
          <w:b/>
        </w:rPr>
        <w:t>Project Management</w:t>
      </w:r>
      <w:r>
        <w:t xml:space="preserve"> and </w:t>
      </w:r>
      <w:r>
        <w:rPr>
          <w:b/>
        </w:rPr>
        <w:t>Report Management</w:t>
      </w:r>
      <w:r>
        <w:t>. More tiles imply a different role or extra entitlements via Knauf admin.</w:t>
      </w:r>
    </w:p>
    <w:p>
      <w:pPr>
        <w:pStyle w:val="Heading3"/>
      </w:pPr>
      <w:r>
        <w:t>Create Project is missing</w:t>
      </w:r>
    </w:p>
    <w:p>
      <w:r>
        <w:t xml:space="preserve">Role without </w:t>
      </w:r>
      <w:r>
        <w:rPr>
          <w:b/>
        </w:rPr>
        <w:t>Create</w:t>
      </w:r>
      <w:r>
        <w:t xml:space="preserve"> entitlement or missing tile assignment. PM/SM with support approval → have admin verify; RM typically does not see it.</w:t>
      </w:r>
    </w:p>
    <w:p>
      <w:pPr>
        <w:pStyle w:val="Heading3"/>
      </w:pPr>
      <w:r>
        <w:t>Project list visible, detail will not open / read-only</w:t>
      </w:r>
    </w:p>
    <w:p>
      <w:r>
        <w:t xml:space="preserve">Seeing a project is not the same as editing: global role </w:t>
      </w:r>
      <w:r>
        <w:rPr>
          <w:b/>
        </w:rPr>
        <w:t>and</w:t>
      </w:r>
      <w:r>
        <w:t xml:space="preserve"> project security group must align — involve the owner.</w:t>
      </w:r>
    </w:p>
    <w:p>
      <w:pPr>
        <w:pStyle w:val="Heading3"/>
      </w:pPr>
      <w:r>
        <w:t>Allocations looks empty</w:t>
      </w:r>
    </w:p>
    <w:p>
      <w:r>
        <w:t xml:space="preserve">Set </w:t>
      </w:r>
      <w:r>
        <w:rPr>
          <w:b/>
        </w:rPr>
        <w:t>Planned Start/End</w:t>
      </w:r>
      <w:r>
        <w:t xml:space="preserve"> in Attributes and pull the grid time slider back to the project window.</w:t>
      </w:r>
    </w:p>
    <w:p>
      <w:pPr>
        <w:pStyle w:val="Heading3"/>
      </w:pPr>
      <w:r>
        <w:t>Euro column stays at 0</w:t>
      </w:r>
    </w:p>
    <w:p>
      <w:r>
        <w:t>Toggle month vs. quarter; if it persists, the resource has no day rate — IT Controlling / RM backfill.</w:t>
      </w:r>
    </w:p>
    <w:p>
      <w:pPr>
        <w:pStyle w:val="Heading3"/>
      </w:pPr>
      <w:r>
        <w:t>Save stays inactive</w:t>
      </w:r>
    </w:p>
    <w:p>
      <w:r>
        <w:t xml:space="preserve">Click </w:t>
      </w:r>
      <w:r>
        <w:rPr>
          <w:b/>
        </w:rPr>
        <w:t>Checkout</w:t>
      </w:r>
      <w:r>
        <w:t xml:space="preserve"> first.</w:t>
      </w:r>
    </w:p>
    <w:p>
      <w:pPr>
        <w:pStyle w:val="Heading3"/>
      </w:pPr>
      <w:r>
        <w:t>Someone else holds checkout</w:t>
      </w:r>
    </w:p>
    <w:p>
      <w:r>
        <w:t>Coordinate or wait for release; Admin-Light can clear stuck locks.</w:t>
      </w:r>
    </w:p>
    <w:p>
      <w:pPr>
        <w:pStyle w:val="Heading3"/>
      </w:pPr>
      <w:r>
        <w:t>Report ignores my numbers for hours</w:t>
      </w:r>
    </w:p>
    <w:p>
      <w:r>
        <w:t xml:space="preserve">Pivots read </w:t>
      </w:r>
      <w:r>
        <w:rPr>
          <w:b/>
        </w:rPr>
        <w:t>checked-in</w:t>
      </w:r>
      <w:r>
        <w:t xml:space="preserve"> data — without </w:t>
      </w:r>
      <w:r>
        <w:rPr>
          <w:b/>
        </w:rPr>
        <w:t>Save and Check In</w:t>
      </w:r>
      <w:r>
        <w:t>, figures stay stale.</w:t>
      </w:r>
    </w:p>
    <w:p>
      <w:pPr>
        <w:pStyle w:val="Heading3"/>
      </w:pPr>
      <w:r>
        <w:t xml:space="preserve">Bracket amount </w:t>
      </w:r>
      <w:r>
        <w:rPr>
          <w:rFonts w:ascii="Consolas" w:hAnsi="Consolas"/>
          <w:sz w:val="20"/>
        </w:rPr>
        <w:t>€(...)</w:t>
      </w:r>
      <w:r>
        <w:t xml:space="preserve"> instead of a positive sign</w:t>
      </w:r>
    </w:p>
    <w:p>
      <w:r>
        <w:t>Display convention: spend reads negative vs. forecast — value is consistent.</w:t>
      </w:r>
    </w:p>
    <w:p>
      <w:pPr>
        <w:pStyle w:val="Heading3"/>
      </w:pPr>
      <w:r>
        <w:t>Grain questions</w:t>
      </w:r>
    </w:p>
    <w:p>
      <w:r>
        <w:t>See Glossary (“Units &amp; grains”) — no duplicate table here.</w:t>
      </w:r>
    </w:p>
    <w:p>
      <w:pPr>
        <w:pStyle w:val="Heading3"/>
      </w:pPr>
      <w:r>
        <w:t>Green dropdown with no error message</w:t>
      </w:r>
    </w:p>
    <w:p>
      <w:r>
        <w:t xml:space="preserve">Knauf </w:t>
      </w:r>
      <w:r>
        <w:rPr>
          <w:b/>
        </w:rPr>
        <w:t>Preferred Value</w:t>
      </w:r>
      <w:r>
        <w:t xml:space="preserve"> hint, not a hard block.</w:t>
      </w:r>
    </w:p>
    <w:p>
      <w:r>
        <w:t>The short legend below covers every :icon token in this edition so mobile readers skip long hover experiments.</w:t>
      </w:r>
    </w:p>
    <w:tbl>
      <w:tblPr>
        <w:tblW w:type="auto" w:w="0"/>
        <w:tblLayout w:type="autofit"/>
        <w:tblLook w:firstColumn="1" w:firstRow="1" w:lastColumn="0" w:lastRow="0" w:noHBand="0" w:noVBand="1" w:val="04A0"/>
      </w:tblPr>
      <w:tblGrid>
        <w:gridCol w:w="3324"/>
        <w:gridCol w:w="3324"/>
        <w:gridCol w:w="3324"/>
      </w:tblGrid>
      <w:tr>
        <w:tc>
          <w:tcPr>
            <w:tcW w:type="dxa" w:w="3213"/>
            <w:shd w:val="clear" w:color="auto" w:fill="0B3D91"/>
          </w:tcPr>
          <w:p>
            <w:r>
              <w:rPr>
                <w:b/>
                <w:color w:val="FFFFFF"/>
                <w:sz w:val="20"/>
              </w:rPr>
              <w:t>Icon</w:t>
            </w:r>
          </w:p>
        </w:tc>
        <w:tc>
          <w:tcPr>
            <w:tcW w:type="dxa" w:w="3213"/>
            <w:shd w:val="clear" w:color="auto" w:fill="0B3D91"/>
          </w:tcPr>
          <w:p>
            <w:r>
              <w:rPr>
                <w:b/>
                <w:color w:val="FFFFFF"/>
                <w:sz w:val="20"/>
              </w:rPr>
              <w:t>Where</w:t>
            </w:r>
          </w:p>
        </w:tc>
        <w:tc>
          <w:tcPr>
            <w:tcW w:type="dxa" w:w="3213"/>
            <w:shd w:val="clear" w:color="auto" w:fill="0B3D91"/>
          </w:tcPr>
          <w:p>
            <w:r>
              <w:rPr>
                <w:b/>
                <w:color w:val="FFFFFF"/>
                <w:sz w:val="20"/>
              </w:rPr>
              <w:t>Meaning</w:t>
            </w:r>
          </w:p>
        </w:tc>
      </w:tr>
      <w:tr>
        <w:tc>
          <w:tcPr>
            <w:tcW w:type="dxa" w:w="3213"/>
          </w:tcPr>
          <w:p>
            <w:r>
              <w:rPr>
                <w:sz w:val="20"/>
              </w:rPr>
              <w:drawing>
                <wp:inline xmlns:a="http://schemas.openxmlformats.org/drawingml/2006/main" xmlns:pic="http://schemas.openxmlformats.org/drawingml/2006/picture">
                  <wp:extent cx="147320" cy="152400"/>
                  <wp:docPr id="33" name="Picture 33"/>
                  <wp:cNvGraphicFramePr>
                    <a:graphicFrameLocks noChangeAspect="1"/>
                  </wp:cNvGraphicFramePr>
                  <a:graphic>
                    <a:graphicData uri="http://schemas.openxmlformats.org/drawingml/2006/picture">
                      <pic:pic>
                        <pic:nvPicPr>
                          <pic:cNvPr id="0" name="icon_topbar_search.png"/>
                          <pic:cNvPicPr/>
                        </pic:nvPicPr>
                        <pic:blipFill>
                          <a:blip r:embed="rId11"/>
                          <a:stretch>
                            <a:fillRect/>
                          </a:stretch>
                        </pic:blipFill>
                        <pic:spPr>
                          <a:xfrm>
                            <a:off x="0" y="0"/>
                            <a:ext cx="147320" cy="152400"/>
                          </a:xfrm>
                          <a:prstGeom prst="rect"/>
                        </pic:spPr>
                      </pic:pic>
                    </a:graphicData>
                  </a:graphic>
                </wp:inline>
              </w:drawing>
            </w:r>
          </w:p>
        </w:tc>
        <w:tc>
          <w:tcPr>
            <w:tcW w:type="dxa" w:w="3213"/>
          </w:tcPr>
          <w:p>
            <w:r>
              <w:rPr>
                <w:sz w:val="20"/>
              </w:rPr>
              <w:t>Top bar</w:t>
            </w:r>
          </w:p>
        </w:tc>
        <w:tc>
          <w:tcPr>
            <w:tcW w:type="dxa" w:w="3213"/>
          </w:tcPr>
          <w:p>
            <w:r>
              <w:rPr>
                <w:sz w:val="20"/>
              </w:rPr>
              <w:t>Global search.</w:t>
            </w:r>
          </w:p>
        </w:tc>
      </w:tr>
      <w:tr>
        <w:tc>
          <w:tcPr>
            <w:tcW w:type="dxa" w:w="3213"/>
            <w:shd w:val="clear" w:color="auto" w:fill="F5F7FB"/>
          </w:tcPr>
          <w:p>
            <w:r>
              <w:rPr>
                <w:sz w:val="20"/>
              </w:rPr>
              <w:drawing>
                <wp:inline xmlns:a="http://schemas.openxmlformats.org/drawingml/2006/main" xmlns:pic="http://schemas.openxmlformats.org/drawingml/2006/picture">
                  <wp:extent cx="152400" cy="152400"/>
                  <wp:docPr id="34" name="Picture 34"/>
                  <wp:cNvGraphicFramePr>
                    <a:graphicFrameLocks noChangeAspect="1"/>
                  </wp:cNvGraphicFramePr>
                  <a:graphic>
                    <a:graphicData uri="http://schemas.openxmlformats.org/drawingml/2006/picture">
                      <pic:pic>
                        <pic:nvPicPr>
                          <pic:cNvPr id="0" name="icon_topbar_bell.png"/>
                          <pic:cNvPicPr/>
                        </pic:nvPicPr>
                        <pic:blipFill>
                          <a:blip r:embed="rId12"/>
                          <a:stretch>
                            <a:fillRect/>
                          </a:stretch>
                        </pic:blipFill>
                        <pic:spPr>
                          <a:xfrm>
                            <a:off x="0" y="0"/>
                            <a:ext cx="152400" cy="152400"/>
                          </a:xfrm>
                          <a:prstGeom prst="rect"/>
                        </pic:spPr>
                      </pic:pic>
                    </a:graphicData>
                  </a:graphic>
                </wp:inline>
              </w:drawing>
            </w:r>
          </w:p>
        </w:tc>
        <w:tc>
          <w:tcPr>
            <w:tcW w:type="dxa" w:w="3213"/>
            <w:shd w:val="clear" w:color="auto" w:fill="F5F7FB"/>
          </w:tcPr>
          <w:p>
            <w:r>
              <w:rPr>
                <w:sz w:val="20"/>
              </w:rPr>
              <w:t>Top bar</w:t>
            </w:r>
          </w:p>
        </w:tc>
        <w:tc>
          <w:tcPr>
            <w:tcW w:type="dxa" w:w="3213"/>
            <w:shd w:val="clear" w:color="auto" w:fill="F5F7FB"/>
          </w:tcPr>
          <w:p>
            <w:r>
              <w:rPr>
                <w:sz w:val="20"/>
              </w:rPr>
              <w:t>In-app notifications.</w:t>
            </w:r>
          </w:p>
        </w:tc>
      </w:tr>
      <w:tr>
        <w:tc>
          <w:tcPr>
            <w:tcW w:type="dxa" w:w="3213"/>
          </w:tcPr>
          <w:p>
            <w:r>
              <w:rPr>
                <w:sz w:val="20"/>
              </w:rPr>
              <w:drawing>
                <wp:inline xmlns:a="http://schemas.openxmlformats.org/drawingml/2006/main" xmlns:pic="http://schemas.openxmlformats.org/drawingml/2006/picture">
                  <wp:extent cx="147320" cy="152400"/>
                  <wp:docPr id="35" name="Picture 35"/>
                  <wp:cNvGraphicFramePr>
                    <a:graphicFrameLocks noChangeAspect="1"/>
                  </wp:cNvGraphicFramePr>
                  <a:graphic>
                    <a:graphicData uri="http://schemas.openxmlformats.org/drawingml/2006/picture">
                      <pic:pic>
                        <pic:nvPicPr>
                          <pic:cNvPr id="0" name="icon_topbar_menu.png"/>
                          <pic:cNvPicPr/>
                        </pic:nvPicPr>
                        <pic:blipFill>
                          <a:blip r:embed="rId13"/>
                          <a:stretch>
                            <a:fillRect/>
                          </a:stretch>
                        </pic:blipFill>
                        <pic:spPr>
                          <a:xfrm>
                            <a:off x="0" y="0"/>
                            <a:ext cx="147320" cy="152400"/>
                          </a:xfrm>
                          <a:prstGeom prst="rect"/>
                        </pic:spPr>
                      </pic:pic>
                    </a:graphicData>
                  </a:graphic>
                </wp:inline>
              </w:drawing>
            </w:r>
          </w:p>
        </w:tc>
        <w:tc>
          <w:tcPr>
            <w:tcW w:type="dxa" w:w="3213"/>
          </w:tcPr>
          <w:p>
            <w:r>
              <w:rPr>
                <w:sz w:val="20"/>
              </w:rPr>
              <w:t>Top bar</w:t>
            </w:r>
          </w:p>
        </w:tc>
        <w:tc>
          <w:tcPr>
            <w:tcW w:type="dxa" w:w="3213"/>
          </w:tcPr>
          <w:p>
            <w:r>
              <w:rPr>
                <w:sz w:val="20"/>
              </w:rPr>
              <w:t>Module navigator.</w:t>
            </w:r>
          </w:p>
        </w:tc>
      </w:tr>
      <w:tr>
        <w:tc>
          <w:tcPr>
            <w:tcW w:type="dxa" w:w="3213"/>
            <w:shd w:val="clear" w:color="auto" w:fill="F5F7FB"/>
          </w:tcPr>
          <w:p>
            <w:r>
              <w:rPr>
                <w:sz w:val="20"/>
              </w:rPr>
              <w:drawing>
                <wp:inline xmlns:a="http://schemas.openxmlformats.org/drawingml/2006/main" xmlns:pic="http://schemas.openxmlformats.org/drawingml/2006/picture">
                  <wp:extent cx="147320" cy="152400"/>
                  <wp:docPr id="36" name="Picture 36"/>
                  <wp:cNvGraphicFramePr>
                    <a:graphicFrameLocks noChangeAspect="1"/>
                  </wp:cNvGraphicFramePr>
                  <a:graphic>
                    <a:graphicData uri="http://schemas.openxmlformats.org/drawingml/2006/picture">
                      <pic:pic>
                        <pic:nvPicPr>
                          <pic:cNvPr id="0" name="icon_topbar_help.png"/>
                          <pic:cNvPicPr/>
                        </pic:nvPicPr>
                        <pic:blipFill>
                          <a:blip r:embed="rId14"/>
                          <a:stretch>
                            <a:fillRect/>
                          </a:stretch>
                        </pic:blipFill>
                        <pic:spPr>
                          <a:xfrm>
                            <a:off x="0" y="0"/>
                            <a:ext cx="147320" cy="152400"/>
                          </a:xfrm>
                          <a:prstGeom prst="rect"/>
                        </pic:spPr>
                      </pic:pic>
                    </a:graphicData>
                  </a:graphic>
                </wp:inline>
              </w:drawing>
            </w:r>
          </w:p>
        </w:tc>
        <w:tc>
          <w:tcPr>
            <w:tcW w:type="dxa" w:w="3213"/>
            <w:shd w:val="clear" w:color="auto" w:fill="F5F7FB"/>
          </w:tcPr>
          <w:p>
            <w:r>
              <w:rPr>
                <w:sz w:val="20"/>
              </w:rPr>
              <w:t>Top bar</w:t>
            </w:r>
          </w:p>
        </w:tc>
        <w:tc>
          <w:tcPr>
            <w:tcW w:type="dxa" w:w="3213"/>
            <w:shd w:val="clear" w:color="auto" w:fill="F5F7FB"/>
          </w:tcPr>
          <w:p>
            <w:r>
              <w:rPr>
                <w:sz w:val="20"/>
              </w:rPr>
              <w:t>Help Center deep link.</w:t>
            </w:r>
          </w:p>
        </w:tc>
      </w:tr>
      <w:tr>
        <w:tc>
          <w:tcPr>
            <w:tcW w:type="dxa" w:w="3213"/>
          </w:tcPr>
          <w:p>
            <w:r>
              <w:rPr>
                <w:sz w:val="20"/>
              </w:rPr>
              <w:drawing>
                <wp:inline xmlns:a="http://schemas.openxmlformats.org/drawingml/2006/main" xmlns:pic="http://schemas.openxmlformats.org/drawingml/2006/picture">
                  <wp:extent cx="94129" cy="152400"/>
                  <wp:docPr id="37" name="Picture 37"/>
                  <wp:cNvGraphicFramePr>
                    <a:graphicFrameLocks noChangeAspect="1"/>
                  </wp:cNvGraphicFramePr>
                  <a:graphic>
                    <a:graphicData uri="http://schemas.openxmlformats.org/drawingml/2006/picture">
                      <pic:pic>
                        <pic:nvPicPr>
                          <pic:cNvPr id="0" name="icon_drag_handle.png"/>
                          <pic:cNvPicPr/>
                        </pic:nvPicPr>
                        <pic:blipFill>
                          <a:blip r:embed="rId17"/>
                          <a:stretch>
                            <a:fillRect/>
                          </a:stretch>
                        </pic:blipFill>
                        <pic:spPr>
                          <a:xfrm>
                            <a:off x="0" y="0"/>
                            <a:ext cx="94129" cy="152400"/>
                          </a:xfrm>
                          <a:prstGeom prst="rect"/>
                        </pic:spPr>
                      </pic:pic>
                    </a:graphicData>
                  </a:graphic>
                </wp:inline>
              </w:drawing>
            </w:r>
          </w:p>
        </w:tc>
        <w:tc>
          <w:tcPr>
            <w:tcW w:type="dxa" w:w="3213"/>
          </w:tcPr>
          <w:p>
            <w:r>
              <w:rPr>
                <w:sz w:val="20"/>
              </w:rPr>
              <w:t>View Manager</w:t>
            </w:r>
          </w:p>
        </w:tc>
        <w:tc>
          <w:tcPr>
            <w:tcW w:type="dxa" w:w="3213"/>
          </w:tcPr>
          <w:p>
            <w:r>
              <w:rPr>
                <w:sz w:val="20"/>
              </w:rPr>
              <w:t>Drag to reorder.</w:t>
            </w:r>
          </w:p>
        </w:tc>
      </w:tr>
      <w:tr>
        <w:tc>
          <w:tcPr>
            <w:tcW w:type="dxa" w:w="3213"/>
            <w:shd w:val="clear" w:color="auto" w:fill="F5F7FB"/>
          </w:tcPr>
          <w:p>
            <w:r>
              <w:rPr>
                <w:sz w:val="20"/>
              </w:rPr>
              <w:drawing>
                <wp:inline xmlns:a="http://schemas.openxmlformats.org/drawingml/2006/main" xmlns:pic="http://schemas.openxmlformats.org/drawingml/2006/picture">
                  <wp:extent cx="152400" cy="152400"/>
                  <wp:docPr id="38" name="Picture 38"/>
                  <wp:cNvGraphicFramePr>
                    <a:graphicFrameLocks noChangeAspect="1"/>
                  </wp:cNvGraphicFramePr>
                  <a:graphic>
                    <a:graphicData uri="http://schemas.openxmlformats.org/drawingml/2006/picture">
                      <pic:pic>
                        <pic:nvPicPr>
                          <pic:cNvPr id="0" name="icon_lock.png"/>
                          <pic:cNvPicPr/>
                        </pic:nvPicPr>
                        <pic:blipFill>
                          <a:blip r:embed="rId18"/>
                          <a:stretch>
                            <a:fillRect/>
                          </a:stretch>
                        </pic:blipFill>
                        <pic:spPr>
                          <a:xfrm>
                            <a:off x="0" y="0"/>
                            <a:ext cx="152400" cy="152400"/>
                          </a:xfrm>
                          <a:prstGeom prst="rect"/>
                        </pic:spPr>
                      </pic:pic>
                    </a:graphicData>
                  </a:graphic>
                </wp:inline>
              </w:drawing>
            </w:r>
          </w:p>
        </w:tc>
        <w:tc>
          <w:tcPr>
            <w:tcW w:type="dxa" w:w="3213"/>
            <w:shd w:val="clear" w:color="auto" w:fill="F5F7FB"/>
          </w:tcPr>
          <w:p>
            <w:r>
              <w:rPr>
                <w:sz w:val="20"/>
              </w:rPr>
              <w:t>Views / project</w:t>
            </w:r>
          </w:p>
        </w:tc>
        <w:tc>
          <w:tcPr>
            <w:tcW w:type="dxa" w:w="3213"/>
            <w:shd w:val="clear" w:color="auto" w:fill="F5F7FB"/>
          </w:tcPr>
          <w:p>
            <w:r>
              <w:rPr>
                <w:sz w:val="20"/>
              </w:rPr>
              <w:t>Locks layout or signals checkout.</w:t>
            </w:r>
          </w:p>
        </w:tc>
      </w:tr>
      <w:tr>
        <w:tc>
          <w:tcPr>
            <w:tcW w:type="dxa" w:w="3213"/>
          </w:tcPr>
          <w:p>
            <w:r>
              <w:rPr>
                <w:sz w:val="20"/>
              </w:rPr>
              <w:drawing>
                <wp:inline xmlns:a="http://schemas.openxmlformats.org/drawingml/2006/main" xmlns:pic="http://schemas.openxmlformats.org/drawingml/2006/picture">
                  <wp:extent cx="112059" cy="152400"/>
                  <wp:docPr id="39" name="Picture 39"/>
                  <wp:cNvGraphicFramePr>
                    <a:graphicFrameLocks noChangeAspect="1"/>
                  </wp:cNvGraphicFramePr>
                  <a:graphic>
                    <a:graphicData uri="http://schemas.openxmlformats.org/drawingml/2006/picture">
                      <pic:pic>
                        <pic:nvPicPr>
                          <pic:cNvPr id="0" name="icon_default_star_filled.png"/>
                          <pic:cNvPicPr/>
                        </pic:nvPicPr>
                        <pic:blipFill>
                          <a:blip r:embed="rId19"/>
                          <a:stretch>
                            <a:fillRect/>
                          </a:stretch>
                        </pic:blipFill>
                        <pic:spPr>
                          <a:xfrm>
                            <a:off x="0" y="0"/>
                            <a:ext cx="112059" cy="152400"/>
                          </a:xfrm>
                          <a:prstGeom prst="rect"/>
                        </pic:spPr>
                      </pic:pic>
                    </a:graphicData>
                  </a:graphic>
                </wp:inline>
              </w:drawing>
            </w:r>
          </w:p>
        </w:tc>
        <w:tc>
          <w:tcPr>
            <w:tcW w:type="dxa" w:w="3213"/>
          </w:tcPr>
          <w:p>
            <w:r>
              <w:rPr>
                <w:sz w:val="20"/>
              </w:rPr>
              <w:t>Views</w:t>
            </w:r>
          </w:p>
        </w:tc>
        <w:tc>
          <w:tcPr>
            <w:tcW w:type="dxa" w:w="3213"/>
          </w:tcPr>
          <w:p>
            <w:r>
              <w:rPr>
                <w:sz w:val="20"/>
              </w:rPr>
              <w:t>Active default view.</w:t>
            </w:r>
          </w:p>
        </w:tc>
      </w:tr>
      <w:tr>
        <w:tc>
          <w:tcPr>
            <w:tcW w:type="dxa" w:w="3213"/>
            <w:shd w:val="clear" w:color="auto" w:fill="F5F7FB"/>
          </w:tcPr>
          <w:p>
            <w:r>
              <w:rPr>
                <w:sz w:val="20"/>
              </w:rPr>
              <w:drawing>
                <wp:inline xmlns:a="http://schemas.openxmlformats.org/drawingml/2006/main" xmlns:pic="http://schemas.openxmlformats.org/drawingml/2006/picture">
                  <wp:extent cx="112059" cy="152400"/>
                  <wp:docPr id="40" name="Picture 40"/>
                  <wp:cNvGraphicFramePr>
                    <a:graphicFrameLocks noChangeAspect="1"/>
                  </wp:cNvGraphicFramePr>
                  <a:graphic>
                    <a:graphicData uri="http://schemas.openxmlformats.org/drawingml/2006/picture">
                      <pic:pic>
                        <pic:nvPicPr>
                          <pic:cNvPr id="0" name="icon_default_star_outline.png"/>
                          <pic:cNvPicPr/>
                        </pic:nvPicPr>
                        <pic:blipFill>
                          <a:blip r:embed="rId20"/>
                          <a:stretch>
                            <a:fillRect/>
                          </a:stretch>
                        </pic:blipFill>
                        <pic:spPr>
                          <a:xfrm>
                            <a:off x="0" y="0"/>
                            <a:ext cx="112059" cy="152400"/>
                          </a:xfrm>
                          <a:prstGeom prst="rect"/>
                        </pic:spPr>
                      </pic:pic>
                    </a:graphicData>
                  </a:graphic>
                </wp:inline>
              </w:drawing>
            </w:r>
          </w:p>
        </w:tc>
        <w:tc>
          <w:tcPr>
            <w:tcW w:type="dxa" w:w="3213"/>
            <w:shd w:val="clear" w:color="auto" w:fill="F5F7FB"/>
          </w:tcPr>
          <w:p>
            <w:r>
              <w:rPr>
                <w:sz w:val="20"/>
              </w:rPr>
              <w:t>Views</w:t>
            </w:r>
          </w:p>
        </w:tc>
        <w:tc>
          <w:tcPr>
            <w:tcW w:type="dxa" w:w="3213"/>
            <w:shd w:val="clear" w:color="auto" w:fill="F5F7FB"/>
          </w:tcPr>
          <w:p>
            <w:r>
              <w:rPr>
                <w:sz w:val="20"/>
              </w:rPr>
              <w:t>Promote to favorite default.</w:t>
            </w:r>
          </w:p>
        </w:tc>
      </w:tr>
      <w:tr>
        <w:tc>
          <w:tcPr>
            <w:tcW w:type="dxa" w:w="3213"/>
          </w:tcPr>
          <w:p>
            <w:r>
              <w:rPr>
                <w:sz w:val="20"/>
              </w:rPr>
              <w:drawing>
                <wp:inline xmlns:a="http://schemas.openxmlformats.org/drawingml/2006/main" xmlns:pic="http://schemas.openxmlformats.org/drawingml/2006/picture">
                  <wp:extent cx="129988" cy="152400"/>
                  <wp:docPr id="41" name="Picture 41"/>
                  <wp:cNvGraphicFramePr>
                    <a:graphicFrameLocks noChangeAspect="1"/>
                  </wp:cNvGraphicFramePr>
                  <a:graphic>
                    <a:graphicData uri="http://schemas.openxmlformats.org/drawingml/2006/picture">
                      <pic:pic>
                        <pic:nvPicPr>
                          <pic:cNvPr id="0" name="icon_edit_pencil.png"/>
                          <pic:cNvPicPr/>
                        </pic:nvPicPr>
                        <pic:blipFill>
                          <a:blip r:embed="rId21"/>
                          <a:stretch>
                            <a:fillRect/>
                          </a:stretch>
                        </pic:blipFill>
                        <pic:spPr>
                          <a:xfrm>
                            <a:off x="0" y="0"/>
                            <a:ext cx="129988" cy="152400"/>
                          </a:xfrm>
                          <a:prstGeom prst="rect"/>
                        </pic:spPr>
                      </pic:pic>
                    </a:graphicData>
                  </a:graphic>
                </wp:inline>
              </w:drawing>
            </w:r>
          </w:p>
        </w:tc>
        <w:tc>
          <w:tcPr>
            <w:tcW w:type="dxa" w:w="3213"/>
          </w:tcPr>
          <w:p>
            <w:r>
              <w:rPr>
                <w:sz w:val="20"/>
              </w:rPr>
              <w:t>Various</w:t>
            </w:r>
          </w:p>
        </w:tc>
        <w:tc>
          <w:tcPr>
            <w:tcW w:type="dxa" w:w="3213"/>
          </w:tcPr>
          <w:p>
            <w:r>
              <w:rPr>
                <w:sz w:val="20"/>
              </w:rPr>
              <w:t>Rename / meta edit.</w:t>
            </w:r>
          </w:p>
        </w:tc>
      </w:tr>
      <w:tr>
        <w:tc>
          <w:tcPr>
            <w:tcW w:type="dxa" w:w="3213"/>
            <w:shd w:val="clear" w:color="auto" w:fill="F5F7FB"/>
          </w:tcPr>
          <w:p>
            <w:r>
              <w:rPr>
                <w:sz w:val="20"/>
              </w:rPr>
              <w:drawing>
                <wp:inline xmlns:a="http://schemas.openxmlformats.org/drawingml/2006/main" xmlns:pic="http://schemas.openxmlformats.org/drawingml/2006/picture">
                  <wp:extent cx="129988" cy="152400"/>
                  <wp:docPr id="42" name="Picture 42"/>
                  <wp:cNvGraphicFramePr>
                    <a:graphicFrameLocks noChangeAspect="1"/>
                  </wp:cNvGraphicFramePr>
                  <a:graphic>
                    <a:graphicData uri="http://schemas.openxmlformats.org/drawingml/2006/picture">
                      <pic:pic>
                        <pic:nvPicPr>
                          <pic:cNvPr id="0" name="icon_clone.png"/>
                          <pic:cNvPicPr/>
                        </pic:nvPicPr>
                        <pic:blipFill>
                          <a:blip r:embed="rId22"/>
                          <a:stretch>
                            <a:fillRect/>
                          </a:stretch>
                        </pic:blipFill>
                        <pic:spPr>
                          <a:xfrm>
                            <a:off x="0" y="0"/>
                            <a:ext cx="129988" cy="152400"/>
                          </a:xfrm>
                          <a:prstGeom prst="rect"/>
                        </pic:spPr>
                      </pic:pic>
                    </a:graphicData>
                  </a:graphic>
                </wp:inline>
              </w:drawing>
            </w:r>
          </w:p>
        </w:tc>
        <w:tc>
          <w:tcPr>
            <w:tcW w:type="dxa" w:w="3213"/>
            <w:shd w:val="clear" w:color="auto" w:fill="F5F7FB"/>
          </w:tcPr>
          <w:p>
            <w:r>
              <w:rPr>
                <w:sz w:val="20"/>
              </w:rPr>
              <w:t>Views / rows</w:t>
            </w:r>
          </w:p>
        </w:tc>
        <w:tc>
          <w:tcPr>
            <w:tcW w:type="dxa" w:w="3213"/>
            <w:shd w:val="clear" w:color="auto" w:fill="F5F7FB"/>
          </w:tcPr>
          <w:p>
            <w:r>
              <w:rPr>
                <w:sz w:val="20"/>
              </w:rPr>
              <w:t>Safe copy instead of editing public views in place.</w:t>
            </w:r>
          </w:p>
        </w:tc>
      </w:tr>
      <w:tr>
        <w:tc>
          <w:tcPr>
            <w:tcW w:type="dxa" w:w="3213"/>
          </w:tcPr>
          <w:p>
            <w:r>
              <w:rPr>
                <w:sz w:val="20"/>
              </w:rPr>
              <w:drawing>
                <wp:inline xmlns:a="http://schemas.openxmlformats.org/drawingml/2006/main" xmlns:pic="http://schemas.openxmlformats.org/drawingml/2006/picture">
                  <wp:extent cx="129988" cy="152400"/>
                  <wp:docPr id="43" name="Picture 43"/>
                  <wp:cNvGraphicFramePr>
                    <a:graphicFrameLocks noChangeAspect="1"/>
                  </wp:cNvGraphicFramePr>
                  <a:graphic>
                    <a:graphicData uri="http://schemas.openxmlformats.org/drawingml/2006/picture">
                      <pic:pic>
                        <pic:nvPicPr>
                          <pic:cNvPr id="0" name="icon_delete_trash.png"/>
                          <pic:cNvPicPr/>
                        </pic:nvPicPr>
                        <pic:blipFill>
                          <a:blip r:embed="rId23"/>
                          <a:stretch>
                            <a:fillRect/>
                          </a:stretch>
                        </pic:blipFill>
                        <pic:spPr>
                          <a:xfrm>
                            <a:off x="0" y="0"/>
                            <a:ext cx="129988" cy="152400"/>
                          </a:xfrm>
                          <a:prstGeom prst="rect"/>
                        </pic:spPr>
                      </pic:pic>
                    </a:graphicData>
                  </a:graphic>
                </wp:inline>
              </w:drawing>
            </w:r>
          </w:p>
        </w:tc>
        <w:tc>
          <w:tcPr>
            <w:tcW w:type="dxa" w:w="3213"/>
          </w:tcPr>
          <w:p>
            <w:r>
              <w:rPr>
                <w:sz w:val="20"/>
              </w:rPr>
              <w:t>Private views</w:t>
            </w:r>
          </w:p>
        </w:tc>
        <w:tc>
          <w:tcPr>
            <w:tcW w:type="dxa" w:w="3213"/>
          </w:tcPr>
          <w:p>
            <w:r>
              <w:rPr>
                <w:sz w:val="20"/>
              </w:rPr>
              <w:t>Delete only your own layouts.</w:t>
            </w:r>
          </w:p>
        </w:tc>
      </w:tr>
      <w:tr>
        <w:tc>
          <w:tcPr>
            <w:tcW w:type="dxa" w:w="3213"/>
            <w:shd w:val="clear" w:color="auto" w:fill="F5F7FB"/>
          </w:tcPr>
          <w:p>
            <w:r>
              <w:rPr>
                <w:sz w:val="20"/>
              </w:rPr>
              <w:drawing>
                <wp:inline xmlns:a="http://schemas.openxmlformats.org/drawingml/2006/main" xmlns:pic="http://schemas.openxmlformats.org/drawingml/2006/picture">
                  <wp:extent cx="152400" cy="152400"/>
                  <wp:docPr id="44" name="Picture 44"/>
                  <wp:cNvGraphicFramePr>
                    <a:graphicFrameLocks noChangeAspect="1"/>
                  </wp:cNvGraphicFramePr>
                  <a:graphic>
                    <a:graphicData uri="http://schemas.openxmlformats.org/drawingml/2006/picture">
                      <pic:pic>
                        <pic:nvPicPr>
                          <pic:cNvPr id="0" name="icon_public_eye.png"/>
                          <pic:cNvPicPr/>
                        </pic:nvPicPr>
                        <pic:blipFill>
                          <a:blip r:embed="rId24"/>
                          <a:stretch>
                            <a:fillRect/>
                          </a:stretch>
                        </pic:blipFill>
                        <pic:spPr>
                          <a:xfrm>
                            <a:off x="0" y="0"/>
                            <a:ext cx="152400" cy="152400"/>
                          </a:xfrm>
                          <a:prstGeom prst="rect"/>
                        </pic:spPr>
                      </pic:pic>
                    </a:graphicData>
                  </a:graphic>
                </wp:inline>
              </w:drawing>
            </w:r>
          </w:p>
        </w:tc>
        <w:tc>
          <w:tcPr>
            <w:tcW w:type="dxa" w:w="3213"/>
            <w:shd w:val="clear" w:color="auto" w:fill="F5F7FB"/>
          </w:tcPr>
          <w:p>
            <w:r>
              <w:rPr>
                <w:sz w:val="20"/>
              </w:rPr>
              <w:t>Views</w:t>
            </w:r>
          </w:p>
        </w:tc>
        <w:tc>
          <w:tcPr>
            <w:tcW w:type="dxa" w:w="3213"/>
            <w:shd w:val="clear" w:color="auto" w:fill="F5F7FB"/>
          </w:tcPr>
          <w:p>
            <w:r>
              <w:rPr>
                <w:sz w:val="20"/>
              </w:rPr>
              <w:t>Admin-shared template — duplicate first.</w:t>
            </w:r>
          </w:p>
        </w:tc>
      </w:tr>
    </w:tbl>
    <w:p/>
    <w:p>
      <w:pPr>
        <w:pStyle w:val="Heading3"/>
      </w:pPr>
      <w:r>
        <w:t>Help and escalation (compact)</w:t>
      </w:r>
    </w:p>
    <w:tbl>
      <w:tblPr>
        <w:tblW w:type="auto" w:w="0"/>
        <w:tblLayout w:type="autofit"/>
        <w:tblLook w:firstColumn="1" w:firstRow="1" w:lastColumn="0" w:lastRow="0" w:noHBand="0" w:noVBand="1" w:val="04A0"/>
      </w:tblPr>
      <w:tblGrid>
        <w:gridCol w:w="4986"/>
        <w:gridCol w:w="4986"/>
      </w:tblGrid>
      <w:tr>
        <w:tc>
          <w:tcPr>
            <w:tcW w:type="dxa" w:w="4819"/>
            <w:shd w:val="clear" w:color="auto" w:fill="0B3D91"/>
          </w:tcPr>
          <w:p>
            <w:r>
              <w:rPr>
                <w:b/>
                <w:color w:val="FFFFFF"/>
                <w:sz w:val="20"/>
              </w:rPr>
              <w:t>Topic</w:t>
            </w:r>
          </w:p>
        </w:tc>
        <w:tc>
          <w:tcPr>
            <w:tcW w:type="dxa" w:w="4819"/>
            <w:shd w:val="clear" w:color="auto" w:fill="0B3D91"/>
          </w:tcPr>
          <w:p>
            <w:r>
              <w:rPr>
                <w:b/>
                <w:color w:val="FFFFFF"/>
                <w:sz w:val="20"/>
              </w:rPr>
              <w:t>Contact</w:t>
            </w:r>
          </w:p>
        </w:tc>
      </w:tr>
      <w:tr>
        <w:tc>
          <w:tcPr>
            <w:tcW w:type="dxa" w:w="4819"/>
          </w:tcPr>
          <w:p>
            <w:r>
              <w:rPr>
                <w:sz w:val="20"/>
              </w:rPr>
              <w:t>Accounts / access</w:t>
            </w:r>
          </w:p>
        </w:tc>
        <w:tc>
          <w:tcPr>
            <w:tcW w:type="dxa" w:w="4819"/>
          </w:tcPr>
          <w:p>
            <w:r>
              <w:rPr>
                <w:sz w:val="20"/>
              </w:rPr>
              <w:t>Knauf Tempus admin</w:t>
            </w:r>
          </w:p>
        </w:tc>
      </w:tr>
      <w:tr>
        <w:tc>
          <w:tcPr>
            <w:tcW w:type="dxa" w:w="4819"/>
            <w:shd w:val="clear" w:color="auto" w:fill="F5F7FB"/>
          </w:tcPr>
          <w:p>
            <w:r>
              <w:rPr>
                <w:sz w:val="20"/>
              </w:rPr>
              <w:t>Rates and categories</w:t>
            </w:r>
          </w:p>
        </w:tc>
        <w:tc>
          <w:tcPr>
            <w:tcW w:type="dxa" w:w="4819"/>
            <w:shd w:val="clear" w:color="auto" w:fill="F5F7FB"/>
          </w:tcPr>
          <w:p>
            <w:r>
              <w:rPr>
                <w:sz w:val="20"/>
              </w:rPr>
              <w:t>IT Controlling</w:t>
            </w:r>
          </w:p>
        </w:tc>
      </w:tr>
      <w:tr>
        <w:tc>
          <w:tcPr>
            <w:tcW w:type="dxa" w:w="4819"/>
          </w:tcPr>
          <w:p>
            <w:r>
              <w:rPr>
                <w:sz w:val="20"/>
              </w:rPr>
              <w:t>Resource requests / pool</w:t>
            </w:r>
          </w:p>
        </w:tc>
        <w:tc>
          <w:tcPr>
            <w:tcW w:type="dxa" w:w="4819"/>
          </w:tcPr>
          <w:p>
            <w:r>
              <w:rPr>
                <w:sz w:val="20"/>
              </w:rPr>
              <w:t>Responsible RM pair</w:t>
            </w:r>
          </w:p>
        </w:tc>
      </w:tr>
      <w:tr>
        <w:tc>
          <w:tcPr>
            <w:tcW w:type="dxa" w:w="4819"/>
            <w:shd w:val="clear" w:color="auto" w:fill="F5F7FB"/>
          </w:tcPr>
          <w:p>
            <w:r>
              <w:rPr>
                <w:sz w:val="20"/>
              </w:rPr>
              <w:t>New dashboard projects</w:t>
            </w:r>
          </w:p>
        </w:tc>
        <w:tc>
          <w:tcPr>
            <w:tcW w:type="dxa" w:w="4819"/>
            <w:shd w:val="clear" w:color="auto" w:fill="F5F7FB"/>
          </w:tcPr>
          <w:p>
            <w:r>
              <w:rPr>
                <w:sz w:val="20"/>
              </w:rPr>
              <w:t>PPM / Controlling</w:t>
            </w:r>
          </w:p>
        </w:tc>
      </w:tr>
      <w:tr>
        <w:tc>
          <w:tcPr>
            <w:tcW w:type="dxa" w:w="4819"/>
          </w:tcPr>
          <w:p>
            <w:r>
              <w:rPr>
                <w:sz w:val="20"/>
              </w:rPr>
              <w:t>Product / platform</w:t>
            </w:r>
          </w:p>
        </w:tc>
        <w:tc>
          <w:tcPr>
            <w:tcW w:type="dxa" w:w="4819"/>
          </w:tcPr>
          <w:p>
            <w:r>
              <w:rPr>
                <w:sz w:val="20"/>
              </w:rPr>
              <w:t>Valkeen support per SLA</w:t>
            </w:r>
          </w:p>
        </w:tc>
      </w:tr>
    </w:tbl>
    <w:p/>
    <w:tbl>
      <w:tblPr>
        <w:tblW w:type="auto" w:w="0"/>
        <w:tblLook w:firstColumn="1" w:firstRow="1" w:lastColumn="0" w:lastRow="0" w:noHBand="0" w:noVBand="1" w:val="04A0"/>
      </w:tblPr>
      <w:tblGrid>
        <w:gridCol w:w="9972"/>
      </w:tblGrid>
      <w:tr>
        <w:tc>
          <w:tcPr>
            <w:tcW w:type="dxa" w:w="9972"/>
            <w:shd w:val="clear" w:color="auto" w:fill="EAF1FB"/>
          </w:tcPr>
          <w:p>
            <w:r>
              <w:rPr>
                <w:b/>
                <w:color w:val="0B3D91"/>
              </w:rPr>
              <w:t xml:space="preserve">Note: </w:t>
            </w:r>
            <w:r>
              <w:t>Improvements to this companion document should still flow through the Knauf ↔ Valkeen steering forum — content changes are prioritised back into the Markdown repository.</w:t>
            </w:r>
          </w:p>
        </w:tc>
      </w:tr>
    </w:tbl>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3A3A3A"/>
        <w:sz w:val="16"/>
      </w:rPr>
      <w:t>Valkeen GmbH ∙ Bahnhofstrasse 64 ∙ 8001 Zurich, Switzerland</w:t>
    </w:r>
  </w:p>
  <w:p>
    <w:pPr>
      <w:jc w:val="center"/>
    </w:pPr>
    <w:r>
      <w:rPr>
        <w:color w:val="3A3A3A"/>
        <w:sz w:val="16"/>
      </w:rPr>
      <w:t>www.valkeen.com ∙ © 2026 Valkeen GmbH. All rights reserved.</w:t>
    </w:r>
  </w:p>
  <w:p>
    <w:pPr>
      <w:jc w:val="center"/>
    </w:pPr>
    <w:r>
      <w:rPr>
        <w:color w:val="3A3A3A"/>
        <w:sz w:val="16"/>
      </w:rP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A3A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3D9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